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default" r:id="rId12"/>
      <w:headerReference w:type="first" r:id="rId13"/>
      <w:footerReference w:type="first" r:id="rId14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ED09EC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309245</wp:posOffset>
          </wp:positionV>
          <wp:extent cx="783590" cy="421005"/>
          <wp:effectExtent l="19050" t="0" r="0" b="0"/>
          <wp:wrapSquare wrapText="bothSides"/>
          <wp:docPr id="4" name="Picture 2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A00" w:rsidRPr="001A7A00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984296" w:rsidRPr="00984296">
      <w:rPr>
        <w:color w:val="5C6F7C"/>
        <w:sz w:val="16"/>
        <w:szCs w:val="16"/>
      </w:rPr>
      <w:t>the NIHR Public Health Research (PHR) programme.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84B61"/>
    <w:rsid w:val="001A7A00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7227B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710BA"/>
    <w:rsid w:val="00AA0A95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D09EC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A1DAC4D-CFBB-4075-996A-6C20ABA9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2017-12-04T13:00:00Z</dcterms:created>
  <dcterms:modified xsi:type="dcterms:W3CDTF">2017-12-04T13:04:42Z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