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default" r:id="rId12"/>
      <w:headerReference w:type="first" r:id="rId13"/>
      <w:footerReference w:type="first" r:id="rId14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0D7984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-370840</wp:posOffset>
          </wp:positionH>
          <wp:positionV relativeFrom="paragraph">
            <wp:posOffset>300990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869" w:rsidRPr="00FA2869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8264D1" w:rsidRPr="008264D1">
      <w:rPr>
        <w:color w:val="5C6F7C"/>
        <w:sz w:val="16"/>
        <w:szCs w:val="16"/>
      </w:rPr>
      <w:t>the NIHR Invention</w:t>
    </w:r>
    <w:r w:rsidR="008264D1">
      <w:rPr>
        <w:color w:val="5C6F7C"/>
        <w:sz w:val="16"/>
        <w:szCs w:val="16"/>
      </w:rPr>
      <w:t xml:space="preserve"> for Innovation (i4i) programme</w:t>
    </w:r>
    <w:r w:rsidR="00984296" w:rsidRPr="00984296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0D7984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A2869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7E8BEBC-4FC1-407D-8D5E-33EAB42B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i4i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2017-12-04T12:57:00Z</dcterms:created>
  <dcterms:modified xsi:type="dcterms:W3CDTF">2017-12-04T13:04:54Z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