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3435" w:rsidR="00D87048" w:rsidP="00570880" w:rsidRDefault="00D87048" w14:paraId="3CDD9420" w14:textId="10379F5C">
      <w:pPr>
        <w:pStyle w:val="Heading1"/>
        <w:spacing w:after="160"/>
        <w:jc w:val="both"/>
        <w:rPr>
          <w:rFonts w:asciiTheme="minorHAnsi" w:hAnsiTheme="minorHAnsi"/>
          <w:sz w:val="24"/>
          <w:szCs w:val="24"/>
        </w:rPr>
      </w:pPr>
      <w:r w:rsidRPr="00DE3435">
        <w:rPr>
          <w:rFonts w:asciiTheme="minorHAnsi" w:hAnsiTheme="minorHAnsi"/>
          <w:sz w:val="24"/>
          <w:szCs w:val="24"/>
        </w:rPr>
        <w:t xml:space="preserve">NIHR BRC </w:t>
      </w:r>
      <w:r w:rsidRPr="00DE3435" w:rsidR="00DC534F">
        <w:rPr>
          <w:rFonts w:asciiTheme="minorHAnsi" w:hAnsiTheme="minorHAnsi"/>
          <w:sz w:val="24"/>
          <w:szCs w:val="24"/>
        </w:rPr>
        <w:t>EDI Prize</w:t>
      </w:r>
    </w:p>
    <w:p w:rsidRPr="00DE3435" w:rsidR="00D87048" w:rsidP="00570880" w:rsidRDefault="00D87048" w14:paraId="1B887335" w14:textId="38A2A7F3">
      <w:pPr>
        <w:pStyle w:val="Heading1"/>
        <w:spacing w:after="160"/>
        <w:jc w:val="both"/>
        <w:rPr>
          <w:rFonts w:asciiTheme="minorHAnsi" w:hAnsiTheme="minorHAnsi"/>
          <w:sz w:val="24"/>
          <w:szCs w:val="24"/>
        </w:rPr>
      </w:pPr>
      <w:r w:rsidRPr="00DE3435">
        <w:rPr>
          <w:rFonts w:asciiTheme="minorHAnsi" w:hAnsiTheme="minorHAnsi"/>
          <w:sz w:val="24"/>
          <w:szCs w:val="24"/>
        </w:rPr>
        <w:t xml:space="preserve">Call for </w:t>
      </w:r>
      <w:r w:rsidR="0024077F">
        <w:rPr>
          <w:rFonts w:asciiTheme="minorHAnsi" w:hAnsiTheme="minorHAnsi"/>
          <w:sz w:val="24"/>
          <w:szCs w:val="24"/>
        </w:rPr>
        <w:t>Applications</w:t>
      </w:r>
    </w:p>
    <w:p w:rsidR="00C6216A" w:rsidP="00570880" w:rsidRDefault="00D87048" w14:paraId="12377A7C" w14:textId="77777777">
      <w:pPr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 xml:space="preserve">The NIHR Southampton Biomedical Research Centre </w:t>
      </w:r>
      <w:r w:rsidRPr="00DE3435" w:rsidR="00807FB8">
        <w:rPr>
          <w:rFonts w:cstheme="minorHAnsi"/>
        </w:rPr>
        <w:t xml:space="preserve">is </w:t>
      </w:r>
      <w:r w:rsidR="00E84513">
        <w:rPr>
          <w:rFonts w:cstheme="minorHAnsi"/>
        </w:rPr>
        <w:t>pleased to launch a ne</w:t>
      </w:r>
      <w:r w:rsidR="00C6216A">
        <w:rPr>
          <w:rFonts w:cstheme="minorHAnsi"/>
        </w:rPr>
        <w:t xml:space="preserve">w </w:t>
      </w:r>
      <w:r w:rsidRPr="00C6216A" w:rsidR="00C6216A">
        <w:rPr>
          <w:rFonts w:cstheme="minorHAnsi"/>
        </w:rPr>
        <w:t>initiative designed to support projects that advance equity, diversity and inclusion (EDI) in line with our EDI strategy.</w:t>
      </w:r>
      <w:r w:rsidR="00C6216A">
        <w:rPr>
          <w:rFonts w:cstheme="minorHAnsi"/>
        </w:rPr>
        <w:t xml:space="preserve"> </w:t>
      </w:r>
    </w:p>
    <w:p w:rsidRPr="00DE3435" w:rsidR="0060622E" w:rsidP="00570880" w:rsidRDefault="00513746" w14:paraId="7E386EB6" w14:textId="24A821C8">
      <w:pPr>
        <w:spacing w:after="160"/>
        <w:jc w:val="both"/>
        <w:rPr>
          <w:rFonts w:cstheme="minorHAnsi"/>
        </w:rPr>
      </w:pPr>
      <w:r w:rsidRPr="00513746">
        <w:rPr>
          <w:rFonts w:cstheme="minorHAnsi"/>
        </w:rPr>
        <w:t>Across the BRC</w:t>
      </w:r>
      <w:r>
        <w:rPr>
          <w:rFonts w:cstheme="minorHAnsi"/>
        </w:rPr>
        <w:t xml:space="preserve"> and partner institutions</w:t>
      </w:r>
      <w:r w:rsidRPr="00513746">
        <w:rPr>
          <w:rFonts w:cstheme="minorHAnsi"/>
        </w:rPr>
        <w:t xml:space="preserve">, many colleagues are already leading inspiring efforts to improve equity and inclusion. However, much of this work is done voluntarily and often relies on the goodwill of a </w:t>
      </w:r>
      <w:r w:rsidR="00025299">
        <w:rPr>
          <w:rFonts w:cstheme="minorHAnsi"/>
        </w:rPr>
        <w:t xml:space="preserve">small number of people. </w:t>
      </w:r>
      <w:r w:rsidRPr="00DE3435" w:rsidR="005E04D5">
        <w:rPr>
          <w:rFonts w:cstheme="minorHAnsi"/>
        </w:rPr>
        <w:t>The BRC EDI Prize has been created to give recognition to those leading this important work, and to encourage wider participation and collaboration across our community.</w:t>
      </w:r>
    </w:p>
    <w:p w:rsidR="00C82C2B" w:rsidP="00570880" w:rsidRDefault="00C82C2B" w14:paraId="012E055B" w14:textId="77777777">
      <w:pPr>
        <w:spacing w:after="160"/>
        <w:jc w:val="both"/>
        <w:rPr>
          <w:rFonts w:cstheme="minorHAnsi"/>
        </w:rPr>
      </w:pPr>
      <w:r w:rsidRPr="00C82C2B">
        <w:rPr>
          <w:rFonts w:cstheme="minorHAnsi"/>
        </w:rPr>
        <w:t>We believe that EDI should be a shared responsibility, central to everything we do</w:t>
      </w:r>
      <w:r>
        <w:rPr>
          <w:rFonts w:cstheme="minorHAnsi"/>
        </w:rPr>
        <w:t>,</w:t>
      </w:r>
      <w:r w:rsidRPr="00C82C2B">
        <w:rPr>
          <w:rFonts w:cstheme="minorHAnsi"/>
        </w:rPr>
        <w:t xml:space="preserve"> not the work of a few. This new prize provides everyone with an opportunity to contribute to positive change within the BRC and its partner institutions.</w:t>
      </w:r>
      <w:r>
        <w:rPr>
          <w:rFonts w:cstheme="minorHAnsi"/>
        </w:rPr>
        <w:t xml:space="preserve"> </w:t>
      </w:r>
    </w:p>
    <w:p w:rsidRPr="00DE3435" w:rsidR="00EF4440" w:rsidP="00570880" w:rsidRDefault="00EF4440" w14:paraId="4B9587C6" w14:textId="5574E97B">
      <w:pPr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>The prize aims to:</w:t>
      </w:r>
    </w:p>
    <w:p w:rsidRPr="00DE3435" w:rsidR="005F5A46" w:rsidP="00570880" w:rsidRDefault="00EF4440" w14:paraId="2212F1C9" w14:textId="0EE6D8AF">
      <w:pPr>
        <w:pStyle w:val="ListParagraph"/>
        <w:numPr>
          <w:ilvl w:val="0"/>
          <w:numId w:val="13"/>
        </w:numPr>
        <w:tabs>
          <w:tab w:val="num" w:pos="720"/>
        </w:tabs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>Support innovative and practical projects that improves</w:t>
      </w:r>
      <w:r w:rsidR="007B0096">
        <w:rPr>
          <w:rFonts w:cstheme="minorHAnsi"/>
        </w:rPr>
        <w:t xml:space="preserve"> </w:t>
      </w:r>
      <w:r w:rsidRPr="00DE3435">
        <w:rPr>
          <w:rFonts w:cstheme="minorHAnsi"/>
        </w:rPr>
        <w:t>equity, diversity and inclusion</w:t>
      </w:r>
      <w:r w:rsidR="007B0096">
        <w:rPr>
          <w:rFonts w:cstheme="minorHAnsi"/>
        </w:rPr>
        <w:t xml:space="preserve"> within the BRC, NIHR infrastructure and the University</w:t>
      </w:r>
      <w:r w:rsidR="00C82C2B">
        <w:rPr>
          <w:rFonts w:cstheme="minorHAnsi"/>
        </w:rPr>
        <w:t>-H</w:t>
      </w:r>
      <w:r w:rsidR="007B0096">
        <w:rPr>
          <w:rFonts w:cstheme="minorHAnsi"/>
        </w:rPr>
        <w:t>ospital partnership</w:t>
      </w:r>
    </w:p>
    <w:p w:rsidRPr="00DE3435" w:rsidR="005F5A46" w:rsidP="00570880" w:rsidRDefault="00EF4440" w14:paraId="225E850F" w14:textId="31EC4561">
      <w:pPr>
        <w:pStyle w:val="ListParagraph"/>
        <w:numPr>
          <w:ilvl w:val="0"/>
          <w:numId w:val="13"/>
        </w:numPr>
        <w:tabs>
          <w:tab w:val="num" w:pos="720"/>
        </w:tabs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 xml:space="preserve">Empower individuals and teams to lead </w:t>
      </w:r>
      <w:r w:rsidR="00C82C2B">
        <w:rPr>
          <w:rFonts w:cstheme="minorHAnsi"/>
        </w:rPr>
        <w:t xml:space="preserve">meaningful </w:t>
      </w:r>
      <w:r w:rsidRPr="00DE3435">
        <w:rPr>
          <w:rFonts w:cstheme="minorHAnsi"/>
        </w:rPr>
        <w:t>change within the BRC.</w:t>
      </w:r>
    </w:p>
    <w:p w:rsidRPr="00DE3435" w:rsidR="009D5F2F" w:rsidP="00570880" w:rsidRDefault="00EF4440" w14:paraId="58920014" w14:textId="77777777">
      <w:pPr>
        <w:pStyle w:val="ListParagraph"/>
        <w:numPr>
          <w:ilvl w:val="0"/>
          <w:numId w:val="13"/>
        </w:numPr>
        <w:tabs>
          <w:tab w:val="num" w:pos="720"/>
        </w:tabs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>Provide a platform for sharing and scaling successful EDI practices.</w:t>
      </w:r>
    </w:p>
    <w:p w:rsidRPr="00DE3435" w:rsidR="00EF4440" w:rsidP="00570880" w:rsidRDefault="00EF4440" w14:paraId="16BE1B23" w14:textId="2FE373B1">
      <w:pPr>
        <w:pStyle w:val="ListParagraph"/>
        <w:numPr>
          <w:ilvl w:val="0"/>
          <w:numId w:val="13"/>
        </w:numPr>
        <w:tabs>
          <w:tab w:val="num" w:pos="720"/>
        </w:tabs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 xml:space="preserve">Offer early opportunities for staff and researchers to gain valuable project leadership experience, including first-time </w:t>
      </w:r>
      <w:r w:rsidRPr="00DE3435" w:rsidR="00C13CB4">
        <w:rPr>
          <w:rFonts w:cstheme="minorHAnsi"/>
        </w:rPr>
        <w:t>p</w:t>
      </w:r>
      <w:r w:rsidRPr="00DE3435" w:rsidR="009D5F2F">
        <w:rPr>
          <w:rFonts w:cstheme="minorHAnsi"/>
        </w:rPr>
        <w:t xml:space="preserve">rincipal </w:t>
      </w:r>
      <w:r w:rsidRPr="00DE3435" w:rsidR="00C13CB4">
        <w:rPr>
          <w:rFonts w:cstheme="minorHAnsi"/>
        </w:rPr>
        <w:t>i</w:t>
      </w:r>
      <w:r w:rsidRPr="00DE3435" w:rsidR="009D5F2F">
        <w:rPr>
          <w:rFonts w:cstheme="minorHAnsi"/>
        </w:rPr>
        <w:t>nvestigator</w:t>
      </w:r>
      <w:r w:rsidRPr="00DE3435">
        <w:rPr>
          <w:rFonts w:cstheme="minorHAnsi"/>
        </w:rPr>
        <w:t xml:space="preserve"> opportunities.</w:t>
      </w:r>
    </w:p>
    <w:p w:rsidR="00C35486" w:rsidP="00593577" w:rsidRDefault="00C35486" w14:paraId="20C9CB9C" w14:textId="77777777">
      <w:pPr>
        <w:pStyle w:val="Heading1"/>
      </w:pPr>
      <w:r>
        <w:t>Funding available</w:t>
      </w:r>
    </w:p>
    <w:p w:rsidRPr="00593577" w:rsidR="00593577" w:rsidP="00593577" w:rsidRDefault="00593577" w14:paraId="0474F98D" w14:textId="50899C38">
      <w:pPr>
        <w:spacing w:after="160"/>
        <w:jc w:val="both"/>
        <w:rPr>
          <w:rFonts w:cstheme="minorHAnsi"/>
        </w:rPr>
      </w:pPr>
      <w:r w:rsidRPr="00593577">
        <w:rPr>
          <w:rFonts w:cstheme="minorHAnsi"/>
        </w:rPr>
        <w:t>A total of £6,000 is available annually to fund three projects of £2,000 each.</w:t>
      </w:r>
    </w:p>
    <w:p w:rsidR="00593577" w:rsidP="00593577" w:rsidRDefault="00593577" w14:paraId="5CE6AF9D" w14:textId="4D0CDFC3">
      <w:pPr>
        <w:spacing w:after="160"/>
        <w:jc w:val="both"/>
        <w:rPr>
          <w:rFonts w:cstheme="minorHAnsi"/>
        </w:rPr>
      </w:pPr>
      <w:r w:rsidRPr="00593577">
        <w:rPr>
          <w:rFonts w:cstheme="minorHAnsi"/>
        </w:rPr>
        <w:t>Projects requiring more than £2,000 may apply for additional funding by providing a clear justification for the extra resources requested. Higher funding amounts may be awarded to initiatives that demonstrate the greatest potential to enhance equity and inclusion within the BRC community.</w:t>
      </w:r>
    </w:p>
    <w:p w:rsidRPr="00E14350" w:rsidR="00E14350" w:rsidP="00E14350" w:rsidRDefault="00E14350" w14:paraId="0FE9F1D3" w14:textId="64F1986A">
      <w:pPr>
        <w:pStyle w:val="Heading1"/>
      </w:pPr>
      <w:r>
        <w:t>Timeline</w:t>
      </w:r>
    </w:p>
    <w:p w:rsidRPr="00E14350" w:rsidR="00D81AF1" w:rsidP="00593577" w:rsidRDefault="00E14350" w14:paraId="1DD9CC3F" w14:textId="746EF7F4">
      <w:pPr>
        <w:spacing w:after="160"/>
        <w:jc w:val="both"/>
        <w:rPr>
          <w:rFonts w:cstheme="minorHAnsi"/>
        </w:rPr>
      </w:pPr>
      <w:r w:rsidRPr="00E14350">
        <w:rPr>
          <w:rFonts w:cstheme="minorHAnsi"/>
        </w:rPr>
        <w:t>Projects</w:t>
      </w:r>
      <w:r w:rsidRPr="00E14350" w:rsidR="00EB5DB9">
        <w:rPr>
          <w:rFonts w:cstheme="minorHAnsi"/>
        </w:rPr>
        <w:t xml:space="preserve"> are </w:t>
      </w:r>
      <w:r w:rsidRPr="00E14350" w:rsidR="003546AD">
        <w:rPr>
          <w:rFonts w:cstheme="minorHAnsi"/>
        </w:rPr>
        <w:t xml:space="preserve">expected to begin </w:t>
      </w:r>
      <w:r w:rsidRPr="00E14350">
        <w:rPr>
          <w:rFonts w:cstheme="minorHAnsi"/>
        </w:rPr>
        <w:t>by</w:t>
      </w:r>
      <w:r w:rsidRPr="00E14350" w:rsidR="00C10844">
        <w:rPr>
          <w:rFonts w:cstheme="minorHAnsi"/>
        </w:rPr>
        <w:t xml:space="preserve"> 1</w:t>
      </w:r>
      <w:r w:rsidRPr="00E14350">
        <w:rPr>
          <w:rFonts w:cstheme="minorHAnsi"/>
        </w:rPr>
        <w:t xml:space="preserve"> </w:t>
      </w:r>
      <w:r w:rsidRPr="00E14350" w:rsidR="00C10844">
        <w:rPr>
          <w:rFonts w:cstheme="minorHAnsi"/>
        </w:rPr>
        <w:t>March</w:t>
      </w:r>
      <w:r w:rsidRPr="00E14350" w:rsidR="003546AD">
        <w:rPr>
          <w:rFonts w:cstheme="minorHAnsi"/>
        </w:rPr>
        <w:t xml:space="preserve"> 2026 and </w:t>
      </w:r>
      <w:r w:rsidRPr="00E14350">
        <w:rPr>
          <w:rFonts w:cstheme="minorHAnsi"/>
        </w:rPr>
        <w:t xml:space="preserve">may </w:t>
      </w:r>
      <w:r w:rsidRPr="00E14350" w:rsidR="003546AD">
        <w:rPr>
          <w:rFonts w:cstheme="minorHAnsi"/>
        </w:rPr>
        <w:t xml:space="preserve">run until </w:t>
      </w:r>
      <w:r w:rsidRPr="00E14350">
        <w:rPr>
          <w:rFonts w:cstheme="minorHAnsi"/>
        </w:rPr>
        <w:t>1</w:t>
      </w:r>
      <w:r w:rsidRPr="00E14350" w:rsidR="003546AD">
        <w:rPr>
          <w:rFonts w:cstheme="minorHAnsi"/>
        </w:rPr>
        <w:t xml:space="preserve"> </w:t>
      </w:r>
      <w:r w:rsidRPr="00E14350" w:rsidR="00C10844">
        <w:rPr>
          <w:rFonts w:cstheme="minorHAnsi"/>
        </w:rPr>
        <w:t>March</w:t>
      </w:r>
      <w:r w:rsidRPr="00E14350" w:rsidR="003546AD">
        <w:rPr>
          <w:rFonts w:cstheme="minorHAnsi"/>
        </w:rPr>
        <w:t xml:space="preserve"> 202</w:t>
      </w:r>
      <w:r w:rsidRPr="00E14350" w:rsidR="00C10844">
        <w:rPr>
          <w:rFonts w:cstheme="minorHAnsi"/>
        </w:rPr>
        <w:t>7</w:t>
      </w:r>
    </w:p>
    <w:p w:rsidRPr="00DE3435" w:rsidR="009D5F2F" w:rsidP="00570880" w:rsidRDefault="00B63A06" w14:paraId="3C1FB949" w14:textId="35226B3D">
      <w:pPr>
        <w:pStyle w:val="Heading2"/>
        <w:spacing w:before="0" w:after="160"/>
        <w:jc w:val="both"/>
        <w:rPr>
          <w:rFonts w:asciiTheme="minorHAnsi" w:hAnsiTheme="minorHAnsi"/>
          <w:szCs w:val="24"/>
        </w:rPr>
      </w:pPr>
      <w:r w:rsidRPr="00DE3435">
        <w:rPr>
          <w:rFonts w:asciiTheme="minorHAnsi" w:hAnsiTheme="minorHAnsi"/>
          <w:szCs w:val="24"/>
        </w:rPr>
        <w:t>Who can apply?</w:t>
      </w:r>
    </w:p>
    <w:p w:rsidRPr="00DE3435" w:rsidR="00546A39" w:rsidP="00570880" w:rsidRDefault="00B63A06" w14:paraId="20629A83" w14:textId="39C6AE82">
      <w:pPr>
        <w:spacing w:after="160"/>
        <w:jc w:val="both"/>
      </w:pPr>
      <w:r w:rsidRPr="00DE3435">
        <w:t>This prize is open to everyone</w:t>
      </w:r>
      <w:r w:rsidRPr="00DE3435" w:rsidR="008D14CD">
        <w:t xml:space="preserve"> affiliated with </w:t>
      </w:r>
      <w:r w:rsidRPr="00DE3435" w:rsidR="00097537">
        <w:t>the BRC</w:t>
      </w:r>
      <w:r w:rsidRPr="00DE3435" w:rsidR="00E83A89">
        <w:t xml:space="preserve">. Applications are welcome from all individuals irrespective of career stages, </w:t>
      </w:r>
      <w:r w:rsidRPr="00DE3435" w:rsidR="00DE7016">
        <w:t>job role or level. Research, clinical, professional services staff, students etc</w:t>
      </w:r>
      <w:r w:rsidR="00CA1580">
        <w:t>.</w:t>
      </w:r>
      <w:r w:rsidRPr="00DE3435" w:rsidR="00DE7016">
        <w:t xml:space="preserve"> are all welcome to apply. </w:t>
      </w:r>
    </w:p>
    <w:p w:rsidRPr="00DE3435" w:rsidR="00BC65AB" w:rsidP="00570880" w:rsidRDefault="00884735" w14:paraId="497A9254" w14:textId="61CB1ADB">
      <w:pPr>
        <w:pStyle w:val="Heading2"/>
        <w:spacing w:before="0" w:after="160"/>
        <w:jc w:val="both"/>
        <w:rPr>
          <w:rFonts w:asciiTheme="minorHAnsi" w:hAnsiTheme="minorHAnsi"/>
          <w:szCs w:val="24"/>
        </w:rPr>
      </w:pPr>
      <w:r w:rsidRPr="00DE3435">
        <w:rPr>
          <w:rFonts w:asciiTheme="minorHAnsi" w:hAnsiTheme="minorHAnsi"/>
          <w:szCs w:val="24"/>
        </w:rPr>
        <w:t>What we are looking for</w:t>
      </w:r>
    </w:p>
    <w:p w:rsidRPr="00DE3435" w:rsidR="00BC65AB" w:rsidP="00570880" w:rsidRDefault="00BC65AB" w14:paraId="33317A42" w14:textId="68C7A22E">
      <w:pPr>
        <w:spacing w:after="160"/>
        <w:jc w:val="both"/>
        <w:rPr>
          <w:rFonts w:cstheme="minorHAnsi"/>
          <w:b/>
          <w:bCs/>
        </w:rPr>
      </w:pPr>
      <w:r w:rsidRPr="00DE3435">
        <w:rPr>
          <w:rFonts w:cstheme="minorHAnsi"/>
        </w:rPr>
        <w:t xml:space="preserve">We are seeking </w:t>
      </w:r>
      <w:r w:rsidRPr="00DE3435" w:rsidR="00B348C7">
        <w:rPr>
          <w:rFonts w:cstheme="minorHAnsi"/>
        </w:rPr>
        <w:t>small scale, high impact projects that</w:t>
      </w:r>
      <w:r w:rsidRPr="00DE3435" w:rsidR="00B348C7">
        <w:rPr>
          <w:rFonts w:cstheme="minorHAnsi"/>
          <w:b/>
          <w:bCs/>
        </w:rPr>
        <w:t>:</w:t>
      </w:r>
    </w:p>
    <w:p w:rsidRPr="00DE3435" w:rsidR="00AC7DEC" w:rsidP="00570880" w:rsidRDefault="00B348C7" w14:paraId="049A08B1" w14:textId="2FFBEC6C">
      <w:pPr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lastRenderedPageBreak/>
        <w:t xml:space="preserve">1) </w:t>
      </w:r>
      <w:r w:rsidRPr="00DE3435" w:rsidR="00AC7DEC">
        <w:rPr>
          <w:rFonts w:cstheme="minorHAnsi"/>
        </w:rPr>
        <w:t>Improve equity, diversity, and inclusion within the BRC or its associated institutions.</w:t>
      </w:r>
      <w:r w:rsidRPr="00DE3435" w:rsidR="00FC5DB6">
        <w:rPr>
          <w:rFonts w:cstheme="minorHAnsi"/>
        </w:rPr>
        <w:t xml:space="preserve"> Projects must focus on</w:t>
      </w:r>
      <w:r w:rsidRPr="00DE3435" w:rsidR="00D7757A">
        <w:rPr>
          <w:rFonts w:cstheme="minorHAnsi"/>
        </w:rPr>
        <w:t xml:space="preserve"> one or more of </w:t>
      </w:r>
      <w:r w:rsidRPr="00DE3435" w:rsidR="00FC5DB6">
        <w:rPr>
          <w:rFonts w:cstheme="minorHAnsi"/>
        </w:rPr>
        <w:t xml:space="preserve">the nine protected characteristics as defined by the Equality Act as well as </w:t>
      </w:r>
      <w:r w:rsidRPr="00DE3435" w:rsidR="00786742">
        <w:rPr>
          <w:rFonts w:cstheme="minorHAnsi"/>
        </w:rPr>
        <w:t>social mobility and socio</w:t>
      </w:r>
      <w:r w:rsidRPr="00DE3435" w:rsidR="00D7757A">
        <w:rPr>
          <w:rFonts w:cstheme="minorHAnsi"/>
        </w:rPr>
        <w:t>-economic status</w:t>
      </w:r>
    </w:p>
    <w:p w:rsidRPr="00DE3435" w:rsidR="00036B1E" w:rsidP="00570880" w:rsidRDefault="007C0093" w14:paraId="2FABE094" w14:textId="067467ED">
      <w:pPr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 xml:space="preserve">2) </w:t>
      </w:r>
      <w:r w:rsidRPr="00DE3435" w:rsidR="00481AF2">
        <w:rPr>
          <w:rFonts w:cstheme="minorHAnsi"/>
        </w:rPr>
        <w:t xml:space="preserve">Are </w:t>
      </w:r>
      <w:r w:rsidRPr="00DE3435" w:rsidR="00AC7DEC">
        <w:rPr>
          <w:rFonts w:cstheme="minorHAnsi"/>
        </w:rPr>
        <w:t>achievable within the budget and timeline.</w:t>
      </w:r>
    </w:p>
    <w:p w:rsidRPr="00DE3435" w:rsidR="00B348C7" w:rsidP="00570880" w:rsidRDefault="00481AF2" w14:paraId="65B1C131" w14:textId="5F5E5890">
      <w:pPr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 xml:space="preserve">3) </w:t>
      </w:r>
      <w:r w:rsidRPr="00DE3435" w:rsidR="00AC7DEC">
        <w:rPr>
          <w:rFonts w:cstheme="minorHAnsi"/>
        </w:rPr>
        <w:t>Have potential for lasting impact or to inform future BRC activities.</w:t>
      </w:r>
    </w:p>
    <w:p w:rsidRPr="00DE3435" w:rsidR="004B4B3C" w:rsidP="00570880" w:rsidRDefault="004B4B3C" w14:paraId="38601C8A" w14:textId="55BA0C91">
      <w:pPr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 xml:space="preserve">4) Show commitment to research inclusion and patient and public involvement and engagement. </w:t>
      </w:r>
    </w:p>
    <w:p w:rsidRPr="00DE3435" w:rsidR="004B4B3C" w:rsidP="00570880" w:rsidRDefault="004B4B3C" w14:paraId="39552A12" w14:textId="49F8F34D">
      <w:pPr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 xml:space="preserve">Applicants are encouraged to contact the BRC EDI and SCREI team to discuss their applications if deemed necessary. </w:t>
      </w:r>
    </w:p>
    <w:p w:rsidRPr="00DE3435" w:rsidR="00694E6B" w:rsidP="00570880" w:rsidRDefault="00694E6B" w14:paraId="08B8278A" w14:textId="08743FE4">
      <w:pPr>
        <w:tabs>
          <w:tab w:val="num" w:pos="720"/>
        </w:tabs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>Examples</w:t>
      </w:r>
      <w:r w:rsidRPr="00DE3435" w:rsidR="00406EA3">
        <w:rPr>
          <w:rFonts w:cstheme="minorHAnsi"/>
        </w:rPr>
        <w:t xml:space="preserve"> of projects</w:t>
      </w:r>
      <w:r w:rsidRPr="00DE3435">
        <w:rPr>
          <w:rFonts w:cstheme="minorHAnsi"/>
        </w:rPr>
        <w:t xml:space="preserve"> include (but are not limited to):</w:t>
      </w:r>
      <w:r w:rsidRPr="00DE3435" w:rsidR="00406EA3">
        <w:rPr>
          <w:rFonts w:cstheme="minorHAnsi"/>
        </w:rPr>
        <w:t xml:space="preserve"> </w:t>
      </w:r>
      <w:r w:rsidRPr="00DE3435">
        <w:rPr>
          <w:rFonts w:cstheme="minorHAnsi"/>
        </w:rPr>
        <w:t xml:space="preserve">Events, workshops, </w:t>
      </w:r>
      <w:r w:rsidRPr="00DE3435" w:rsidR="00884735">
        <w:rPr>
          <w:rFonts w:cstheme="minorHAnsi"/>
        </w:rPr>
        <w:t>t</w:t>
      </w:r>
      <w:r w:rsidRPr="00DE3435">
        <w:rPr>
          <w:rFonts w:cstheme="minorHAnsi"/>
        </w:rPr>
        <w:t>raining programmes or resources</w:t>
      </w:r>
      <w:r w:rsidRPr="00DE3435" w:rsidR="00884735">
        <w:rPr>
          <w:rFonts w:cstheme="minorHAnsi"/>
        </w:rPr>
        <w:t>, d</w:t>
      </w:r>
      <w:r w:rsidRPr="00DE3435">
        <w:rPr>
          <w:rFonts w:cstheme="minorHAnsi"/>
        </w:rPr>
        <w:t>evelopment of accessible tools, processes, or materials</w:t>
      </w:r>
      <w:r w:rsidRPr="00DE3435" w:rsidR="00884735">
        <w:rPr>
          <w:rFonts w:cstheme="minorHAnsi"/>
        </w:rPr>
        <w:t>, p</w:t>
      </w:r>
      <w:r w:rsidRPr="00DE3435">
        <w:rPr>
          <w:rFonts w:cstheme="minorHAnsi"/>
        </w:rPr>
        <w:t>ilot research projects addressing EDI challenges</w:t>
      </w:r>
      <w:r w:rsidRPr="00DE3435" w:rsidR="00884735">
        <w:rPr>
          <w:rFonts w:cstheme="minorHAnsi"/>
        </w:rPr>
        <w:t xml:space="preserve"> etc. </w:t>
      </w:r>
    </w:p>
    <w:p w:rsidRPr="00DE3435" w:rsidR="00003671" w:rsidP="00570880" w:rsidRDefault="00003671" w14:paraId="3AC7C72F" w14:textId="5927E6F4">
      <w:pPr>
        <w:pStyle w:val="Heading2"/>
        <w:spacing w:before="0" w:after="160"/>
        <w:jc w:val="both"/>
        <w:rPr>
          <w:rFonts w:asciiTheme="minorHAnsi" w:hAnsiTheme="minorHAnsi"/>
          <w:szCs w:val="24"/>
        </w:rPr>
      </w:pPr>
      <w:r w:rsidRPr="00DE3435">
        <w:rPr>
          <w:rFonts w:asciiTheme="minorHAnsi" w:hAnsiTheme="minorHAnsi"/>
          <w:szCs w:val="24"/>
        </w:rPr>
        <w:t>Assessment criteria</w:t>
      </w:r>
    </w:p>
    <w:p w:rsidRPr="00DE3435" w:rsidR="003B3E63" w:rsidP="00570880" w:rsidRDefault="003B3E63" w14:paraId="4044C8A6" w14:textId="07B02D5E">
      <w:pPr>
        <w:spacing w:after="160"/>
        <w:jc w:val="both"/>
      </w:pPr>
      <w:r w:rsidRPr="00DE3435">
        <w:t xml:space="preserve">Applications will be judged </w:t>
      </w:r>
      <w:r w:rsidRPr="00DE3435" w:rsidR="00884735">
        <w:t xml:space="preserve">based on </w:t>
      </w:r>
    </w:p>
    <w:p w:rsidRPr="00DE3435" w:rsidR="003B3E63" w:rsidP="003D59DC" w:rsidRDefault="003B3E63" w14:paraId="07ACEFE0" w14:textId="0E78BA9E">
      <w:pPr>
        <w:pStyle w:val="ListParagraph"/>
        <w:numPr>
          <w:ilvl w:val="0"/>
          <w:numId w:val="18"/>
        </w:numPr>
        <w:spacing w:after="160"/>
        <w:jc w:val="both"/>
      </w:pPr>
      <w:r w:rsidRPr="00DE3435">
        <w:t xml:space="preserve">Relevance to </w:t>
      </w:r>
      <w:r w:rsidR="00B12D75">
        <w:t>EDI</w:t>
      </w:r>
    </w:p>
    <w:p w:rsidRPr="00DE3435" w:rsidR="003B3E63" w:rsidP="009D1D85" w:rsidRDefault="003B3E63" w14:paraId="5D2699AD" w14:textId="7F27C5EF">
      <w:pPr>
        <w:pStyle w:val="ListParagraph"/>
        <w:numPr>
          <w:ilvl w:val="0"/>
          <w:numId w:val="18"/>
        </w:numPr>
        <w:spacing w:after="160"/>
        <w:jc w:val="both"/>
      </w:pPr>
      <w:r w:rsidRPr="00DE3435">
        <w:t>Potential impact within the BRC</w:t>
      </w:r>
    </w:p>
    <w:p w:rsidRPr="00DE3435" w:rsidR="003B3E63" w:rsidP="008F027C" w:rsidRDefault="003B3E63" w14:paraId="05B8A006" w14:textId="52E4CE96">
      <w:pPr>
        <w:pStyle w:val="ListParagraph"/>
        <w:numPr>
          <w:ilvl w:val="0"/>
          <w:numId w:val="18"/>
        </w:numPr>
        <w:spacing w:after="160"/>
        <w:jc w:val="both"/>
      </w:pPr>
      <w:r w:rsidRPr="00DE3435">
        <w:t>Feasibility and value for money</w:t>
      </w:r>
    </w:p>
    <w:p w:rsidRPr="00DE3435" w:rsidR="003B3E63" w:rsidP="00681A3A" w:rsidRDefault="003B3E63" w14:paraId="1F697923" w14:textId="368018E9">
      <w:pPr>
        <w:pStyle w:val="ListParagraph"/>
        <w:numPr>
          <w:ilvl w:val="0"/>
          <w:numId w:val="18"/>
        </w:numPr>
        <w:spacing w:after="160"/>
        <w:jc w:val="both"/>
      </w:pPr>
      <w:r w:rsidRPr="00DE3435">
        <w:t>Innovation and creativity</w:t>
      </w:r>
    </w:p>
    <w:p w:rsidRPr="00DE3435" w:rsidR="003B3E63" w:rsidP="00570880" w:rsidRDefault="003B3E63" w14:paraId="2C58FA60" w14:textId="77777777">
      <w:pPr>
        <w:pStyle w:val="ListParagraph"/>
        <w:numPr>
          <w:ilvl w:val="0"/>
          <w:numId w:val="18"/>
        </w:numPr>
        <w:spacing w:after="160"/>
        <w:jc w:val="both"/>
      </w:pPr>
      <w:r w:rsidRPr="00DE3435">
        <w:t>Potential for sustainability or future development</w:t>
      </w:r>
    </w:p>
    <w:p w:rsidRPr="00DE3435" w:rsidR="004C034A" w:rsidP="00570880" w:rsidRDefault="004C034A" w14:paraId="0F72708D" w14:textId="3B6813BE">
      <w:pPr>
        <w:pStyle w:val="Heading2"/>
        <w:spacing w:before="0" w:after="160"/>
        <w:jc w:val="both"/>
        <w:rPr>
          <w:rFonts w:asciiTheme="minorHAnsi" w:hAnsiTheme="minorHAnsi"/>
          <w:szCs w:val="24"/>
        </w:rPr>
      </w:pPr>
      <w:r w:rsidRPr="00DE3435">
        <w:rPr>
          <w:rFonts w:asciiTheme="minorHAnsi" w:hAnsiTheme="minorHAnsi"/>
          <w:szCs w:val="24"/>
        </w:rPr>
        <w:t>Conditions of Award</w:t>
      </w:r>
    </w:p>
    <w:p w:rsidRPr="00DE3435" w:rsidR="004C034A" w:rsidP="00570880" w:rsidRDefault="004C034A" w14:paraId="431D84D4" w14:textId="03CE6D19">
      <w:pPr>
        <w:spacing w:after="160"/>
        <w:jc w:val="both"/>
      </w:pPr>
      <w:r w:rsidRPr="00DE3435">
        <w:t xml:space="preserve">Awardees will be required to: </w:t>
      </w:r>
    </w:p>
    <w:p w:rsidRPr="00DE3435" w:rsidR="004C034A" w:rsidP="00570880" w:rsidRDefault="004C034A" w14:paraId="17A85DB8" w14:textId="29627DDE">
      <w:pPr>
        <w:spacing w:after="160"/>
        <w:jc w:val="both"/>
      </w:pPr>
      <w:r w:rsidRPr="00DE3435">
        <w:t>1) Present their project at one of the BRC Lunch time seminars</w:t>
      </w:r>
    </w:p>
    <w:p w:rsidRPr="00DE3435" w:rsidR="004C034A" w:rsidP="00570880" w:rsidRDefault="004C034A" w14:paraId="489E92DA" w14:textId="4A9D3753">
      <w:pPr>
        <w:spacing w:after="160"/>
        <w:jc w:val="both"/>
      </w:pPr>
      <w:r w:rsidRPr="00DE3435">
        <w:t>2) Produce a short summary report for submission to the team by 31</w:t>
      </w:r>
      <w:r w:rsidRPr="00DE3435">
        <w:rPr>
          <w:vertAlign w:val="superscript"/>
        </w:rPr>
        <w:t>st</w:t>
      </w:r>
      <w:r w:rsidRPr="00DE3435">
        <w:t xml:space="preserve"> March 2027</w:t>
      </w:r>
    </w:p>
    <w:p w:rsidRPr="00DE3435" w:rsidR="0070638D" w:rsidP="00570880" w:rsidRDefault="0070638D" w14:paraId="2D4FFEA3" w14:textId="25B5803C">
      <w:pPr>
        <w:spacing w:after="160"/>
        <w:jc w:val="both"/>
      </w:pPr>
      <w:r w:rsidRPr="00DE3435">
        <w:t>3) Include an acknowledgement of BRC support on all publications, posters and presentations resulting from this funding.</w:t>
      </w:r>
    </w:p>
    <w:p w:rsidR="00FB734D" w:rsidP="00DE3435" w:rsidRDefault="00FE7634" w14:paraId="788448EE" w14:textId="1A10D5DF">
      <w:pPr>
        <w:pStyle w:val="Heading2"/>
        <w:spacing w:before="0" w:after="160"/>
        <w:jc w:val="both"/>
        <w:rPr>
          <w:rFonts w:asciiTheme="minorHAnsi" w:hAnsiTheme="minorHAnsi"/>
          <w:szCs w:val="24"/>
        </w:rPr>
      </w:pPr>
      <w:r w:rsidRPr="00DE3435">
        <w:rPr>
          <w:rFonts w:asciiTheme="minorHAnsi" w:hAnsiTheme="minorHAnsi"/>
          <w:szCs w:val="24"/>
        </w:rPr>
        <w:t>Finances and eligible costs</w:t>
      </w:r>
    </w:p>
    <w:p w:rsidR="00191E8F" w:rsidP="00B12D75" w:rsidRDefault="00191E8F" w14:paraId="42728FA7" w14:textId="77777777">
      <w:r>
        <w:t xml:space="preserve">There are no limits as to what the funding can cover including: </w:t>
      </w:r>
    </w:p>
    <w:p w:rsidR="00A92535" w:rsidP="00B12D75" w:rsidRDefault="00191E8F" w14:paraId="5BF5B898" w14:textId="77777777">
      <w:r>
        <w:t>Consumables, travel, speaker fees, hourly rates f</w:t>
      </w:r>
      <w:r w:rsidR="00A92535">
        <w:t xml:space="preserve">or PGRs or research assistants. </w:t>
      </w:r>
    </w:p>
    <w:p w:rsidR="00A92535" w:rsidP="00B12D75" w:rsidRDefault="00A92535" w14:paraId="3FC1B969" w14:textId="31F7B1E9">
      <w:r>
        <w:t>Please note that equipment costs will not be covered by this award.</w:t>
      </w:r>
    </w:p>
    <w:p w:rsidR="007E316A" w:rsidP="00B12D75" w:rsidRDefault="007E316A" w14:paraId="73C30609" w14:textId="77777777"/>
    <w:p w:rsidR="007E316A" w:rsidP="00B12D75" w:rsidRDefault="007E316A" w14:paraId="69C5A287" w14:textId="063EA865">
      <w:r w:rsidRPr="007E316A">
        <w:t>Please ensure your applications have been properly costed by the trust or the University’s R</w:t>
      </w:r>
      <w:r>
        <w:t xml:space="preserve">esearch and Development departments. If you are </w:t>
      </w:r>
      <w:r w:rsidR="009B24FB">
        <w:t xml:space="preserve">intending to use this prize to buy out time from your day job, please ensure you have written agreement from your line manager. </w:t>
      </w:r>
    </w:p>
    <w:p w:rsidR="008E0FAB" w:rsidP="00B12D75" w:rsidRDefault="008E0FAB" w14:paraId="57FF0C55" w14:textId="77777777"/>
    <w:p w:rsidR="00404EC5" w:rsidP="008E0FAB" w:rsidRDefault="008E0FAB" w14:paraId="247BCE1E" w14:textId="58DA5F49">
      <w:pPr>
        <w:spacing w:after="160"/>
        <w:jc w:val="both"/>
      </w:pPr>
      <w:r>
        <w:rPr>
          <w:rFonts w:cstheme="minorHAnsi"/>
        </w:rPr>
        <w:t xml:space="preserve">Please note that funding for successful applications for </w:t>
      </w:r>
      <w:proofErr w:type="spellStart"/>
      <w:r>
        <w:rPr>
          <w:rFonts w:cstheme="minorHAnsi"/>
        </w:rPr>
        <w:t>UoS</w:t>
      </w:r>
      <w:proofErr w:type="spellEnd"/>
      <w:r>
        <w:rPr>
          <w:rFonts w:cstheme="minorHAnsi"/>
        </w:rPr>
        <w:t xml:space="preserve"> applicants will be managed by the local BRC finance team within FMED.</w:t>
      </w:r>
    </w:p>
    <w:p w:rsidRPr="00DE3435" w:rsidR="004A7DDD" w:rsidP="00570880" w:rsidRDefault="00CF0259" w14:paraId="18EEB228" w14:textId="5706A33B">
      <w:pPr>
        <w:pStyle w:val="Heading2"/>
        <w:spacing w:before="0" w:after="160"/>
        <w:jc w:val="both"/>
        <w:rPr>
          <w:rFonts w:asciiTheme="minorHAnsi" w:hAnsiTheme="minorHAnsi"/>
          <w:szCs w:val="24"/>
        </w:rPr>
      </w:pPr>
      <w:r w:rsidRPr="00DE3435">
        <w:rPr>
          <w:rFonts w:asciiTheme="minorHAnsi" w:hAnsiTheme="minorHAnsi"/>
          <w:szCs w:val="24"/>
        </w:rPr>
        <w:lastRenderedPageBreak/>
        <w:t>Application process</w:t>
      </w:r>
    </w:p>
    <w:p w:rsidRPr="00DE3435" w:rsidR="007E6B79" w:rsidP="00570880" w:rsidRDefault="00BC65AB" w14:paraId="2CC57051" w14:textId="29080D9E">
      <w:pPr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 xml:space="preserve">Please submit </w:t>
      </w:r>
      <w:r w:rsidRPr="00DE3435" w:rsidR="007E6B79">
        <w:rPr>
          <w:rFonts w:cstheme="minorHAnsi"/>
        </w:rPr>
        <w:t xml:space="preserve">the accompanying application form to </w:t>
      </w:r>
      <w:hyperlink w:history="1" r:id="rId7">
        <w:r w:rsidRPr="00DE3435" w:rsidR="007E6B79">
          <w:rPr>
            <w:rStyle w:val="Hyperlink"/>
            <w:rFonts w:cstheme="minorHAnsi"/>
          </w:rPr>
          <w:t>brc-applications@uhs.nhs.uk</w:t>
        </w:r>
      </w:hyperlink>
      <w:r w:rsidRPr="00DE3435" w:rsidR="007E6B79">
        <w:rPr>
          <w:rFonts w:cstheme="minorHAnsi"/>
        </w:rPr>
        <w:t xml:space="preserve"> by </w:t>
      </w:r>
      <w:r w:rsidRPr="008474F5" w:rsidR="007E6B79">
        <w:rPr>
          <w:rFonts w:cstheme="minorHAnsi"/>
          <w:b/>
          <w:bCs/>
        </w:rPr>
        <w:t xml:space="preserve">12:00 midday on </w:t>
      </w:r>
      <w:r w:rsidR="00404EC5">
        <w:rPr>
          <w:rFonts w:cstheme="minorHAnsi"/>
          <w:b/>
          <w:bCs/>
        </w:rPr>
        <w:t>Mon</w:t>
      </w:r>
      <w:r w:rsidRPr="008474F5" w:rsidR="008474F5">
        <w:rPr>
          <w:rFonts w:cstheme="minorHAnsi"/>
          <w:b/>
          <w:bCs/>
        </w:rPr>
        <w:t xml:space="preserve">day </w:t>
      </w:r>
      <w:r w:rsidR="00C54790">
        <w:rPr>
          <w:rFonts w:cstheme="minorHAnsi"/>
          <w:b/>
          <w:bCs/>
        </w:rPr>
        <w:t>12</w:t>
      </w:r>
      <w:r w:rsidRPr="008474F5" w:rsidR="008474F5">
        <w:rPr>
          <w:rFonts w:cstheme="minorHAnsi"/>
          <w:b/>
          <w:bCs/>
          <w:vertAlign w:val="superscript"/>
        </w:rPr>
        <w:t>th</w:t>
      </w:r>
      <w:r w:rsidRPr="008474F5" w:rsidR="008474F5">
        <w:rPr>
          <w:rFonts w:cstheme="minorHAnsi"/>
          <w:b/>
          <w:bCs/>
        </w:rPr>
        <w:t xml:space="preserve"> </w:t>
      </w:r>
      <w:r w:rsidRPr="008474F5" w:rsidR="00CA1580">
        <w:rPr>
          <w:rFonts w:cstheme="minorHAnsi"/>
          <w:b/>
          <w:bCs/>
        </w:rPr>
        <w:t>January</w:t>
      </w:r>
      <w:r w:rsidRPr="008474F5" w:rsidR="007E6B79">
        <w:rPr>
          <w:rFonts w:cstheme="minorHAnsi"/>
          <w:b/>
          <w:bCs/>
        </w:rPr>
        <w:t xml:space="preserve"> </w:t>
      </w:r>
      <w:r w:rsidRPr="008474F5" w:rsidR="008474F5">
        <w:rPr>
          <w:rFonts w:cstheme="minorHAnsi"/>
          <w:b/>
          <w:bCs/>
        </w:rPr>
        <w:t>2026</w:t>
      </w:r>
    </w:p>
    <w:p w:rsidR="004F6F01" w:rsidP="00570880" w:rsidRDefault="007E6B79" w14:paraId="48F339F7" w14:textId="77777777">
      <w:pPr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 xml:space="preserve">Expressions of interest will be </w:t>
      </w:r>
      <w:r w:rsidR="008474F5">
        <w:rPr>
          <w:rFonts w:cstheme="minorHAnsi"/>
        </w:rPr>
        <w:t xml:space="preserve">reviewed by a </w:t>
      </w:r>
      <w:r w:rsidR="004F6F01">
        <w:rPr>
          <w:rFonts w:cstheme="minorHAnsi"/>
        </w:rPr>
        <w:t>panel,</w:t>
      </w:r>
      <w:r w:rsidR="008474F5">
        <w:rPr>
          <w:rFonts w:cstheme="minorHAnsi"/>
        </w:rPr>
        <w:t xml:space="preserve"> </w:t>
      </w:r>
      <w:r w:rsidR="004F6F01">
        <w:rPr>
          <w:rFonts w:cstheme="minorHAnsi"/>
        </w:rPr>
        <w:t>and outcomes will be communicated by 31</w:t>
      </w:r>
      <w:r w:rsidRPr="004F6F01" w:rsidR="004F6F01">
        <w:rPr>
          <w:rFonts w:cstheme="minorHAnsi"/>
          <w:vertAlign w:val="superscript"/>
        </w:rPr>
        <w:t>st</w:t>
      </w:r>
      <w:r w:rsidR="004F6F01">
        <w:rPr>
          <w:rFonts w:cstheme="minorHAnsi"/>
        </w:rPr>
        <w:t xml:space="preserve"> January 2026. </w:t>
      </w:r>
    </w:p>
    <w:p w:rsidRPr="00DE3435" w:rsidR="007E6B79" w:rsidP="00570880" w:rsidRDefault="007E6B79" w14:paraId="2131DC39" w14:textId="32E65262">
      <w:pPr>
        <w:spacing w:after="160"/>
        <w:jc w:val="both"/>
        <w:rPr>
          <w:rFonts w:cstheme="minorHAnsi"/>
        </w:rPr>
      </w:pPr>
      <w:r w:rsidRPr="00DE3435">
        <w:rPr>
          <w:rFonts w:cstheme="minorHAnsi"/>
        </w:rPr>
        <w:t xml:space="preserve">For further information or for any questions, please contact any of the BRC Equity leads: Dr Olatundun Gafari </w:t>
      </w:r>
      <w:hyperlink w:history="1" r:id="rId8">
        <w:r w:rsidRPr="00DE3435">
          <w:rPr>
            <w:rStyle w:val="Hyperlink"/>
            <w:rFonts w:cstheme="minorHAnsi"/>
          </w:rPr>
          <w:t>o.y.gafari@soton.ac.uk</w:t>
        </w:r>
      </w:hyperlink>
      <w:r w:rsidRPr="00DE3435">
        <w:rPr>
          <w:rFonts w:cstheme="minorHAnsi"/>
        </w:rPr>
        <w:t xml:space="preserve"> or Dr Sanjay Ramamoorthy </w:t>
      </w:r>
      <w:hyperlink w:history="1" r:id="rId9">
        <w:r w:rsidRPr="00DE3435">
          <w:rPr>
            <w:rStyle w:val="Hyperlink"/>
            <w:rFonts w:cstheme="minorHAnsi"/>
          </w:rPr>
          <w:t>Sanjay.Ramamoorthy@uhs.nhs.uk</w:t>
        </w:r>
      </w:hyperlink>
      <w:r w:rsidRPr="00DE3435">
        <w:rPr>
          <w:rFonts w:cstheme="minorHAnsi"/>
        </w:rPr>
        <w:t xml:space="preserve">  </w:t>
      </w:r>
    </w:p>
    <w:p w:rsidRPr="00DE3435" w:rsidR="00FE7634" w:rsidP="00570880" w:rsidRDefault="00FE7634" w14:paraId="2FD23548" w14:textId="0167398B">
      <w:pPr>
        <w:spacing w:after="160"/>
        <w:jc w:val="both"/>
        <w:rPr>
          <w:rFonts w:cstheme="minorHAnsi"/>
        </w:rPr>
      </w:pPr>
    </w:p>
    <w:p w:rsidRPr="00DE3435" w:rsidR="00D87048" w:rsidP="00570880" w:rsidRDefault="00D87048" w14:paraId="79E8847E" w14:textId="3DCE05DB">
      <w:pPr>
        <w:spacing w:after="160"/>
        <w:jc w:val="both"/>
        <w:rPr>
          <w:rFonts w:cstheme="minorHAnsi"/>
        </w:rPr>
      </w:pPr>
    </w:p>
    <w:sectPr w:rsidRPr="00DE3435" w:rsidR="00D87048" w:rsidSect="00D87048">
      <w:headerReference w:type="default" r:id="rId10"/>
      <w:pgSz w:w="11900" w:h="16840"/>
      <w:pgMar w:top="993" w:right="11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3240" w14:textId="77777777" w:rsidR="00D17582" w:rsidRDefault="00D17582" w:rsidP="00563D7E">
      <w:r>
        <w:separator/>
      </w:r>
    </w:p>
  </w:endnote>
  <w:endnote w:type="continuationSeparator" w:id="0">
    <w:p w14:paraId="53D43E13" w14:textId="77777777" w:rsidR="00D17582" w:rsidRDefault="00D17582" w:rsidP="0056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EA84" w14:textId="77777777" w:rsidR="00D17582" w:rsidRDefault="00D17582" w:rsidP="00563D7E">
      <w:r>
        <w:separator/>
      </w:r>
    </w:p>
  </w:footnote>
  <w:footnote w:type="continuationSeparator" w:id="0">
    <w:p w14:paraId="13CFD5C9" w14:textId="77777777" w:rsidR="00D17582" w:rsidRDefault="00D17582" w:rsidP="0056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1CB3" w14:textId="77777777" w:rsidR="00563D7E" w:rsidRDefault="00563D7E" w:rsidP="00563D7E">
    <w:pPr>
      <w:pStyle w:val="Header"/>
      <w:tabs>
        <w:tab w:val="clear" w:pos="9026"/>
        <w:tab w:val="left" w:pos="8280"/>
      </w:tabs>
      <w:jc w:val="center"/>
    </w:pPr>
    <w:r>
      <w:rPr>
        <w:noProof/>
      </w:rPr>
      <w:drawing>
        <wp:inline distT="0" distB="0" distL="0" distR="0" wp14:anchorId="4CE7C2E9" wp14:editId="791B28DD">
          <wp:extent cx="1936750" cy="495300"/>
          <wp:effectExtent l="0" t="0" r="6350" b="0"/>
          <wp:docPr id="1055395590" name="Picture 4" descr="A logo for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395590" name="Picture 4" descr="A logo for a university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48" t="28834" r="8216" b="33645"/>
                  <a:stretch/>
                </pic:blipFill>
                <pic:spPr bwMode="auto">
                  <a:xfrm>
                    <a:off x="0" y="0"/>
                    <a:ext cx="1947486" cy="4980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048737" wp14:editId="58C41C86">
          <wp:extent cx="1847850" cy="468420"/>
          <wp:effectExtent l="0" t="0" r="0" b="8255"/>
          <wp:docPr id="589308970" name="Picture 6" descr="Southampton Biomedical Research Cen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uthampton Biomedical Research Centr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6" b="35083"/>
                  <a:stretch/>
                </pic:blipFill>
                <pic:spPr bwMode="auto">
                  <a:xfrm>
                    <a:off x="0" y="0"/>
                    <a:ext cx="1871205" cy="474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6872ED2" wp14:editId="21FBAD29">
          <wp:extent cx="1847850" cy="393740"/>
          <wp:effectExtent l="0" t="0" r="0" b="6350"/>
          <wp:docPr id="75224365" name="Picture 5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24365" name="Picture 5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980" cy="39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D2B38F" w14:textId="77777777" w:rsidR="00563D7E" w:rsidRDefault="00563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FA4"/>
    <w:multiLevelType w:val="hybridMultilevel"/>
    <w:tmpl w:val="59AA52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2C6A"/>
    <w:multiLevelType w:val="multilevel"/>
    <w:tmpl w:val="52B0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8E145C"/>
    <w:multiLevelType w:val="hybridMultilevel"/>
    <w:tmpl w:val="9D8218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76258"/>
    <w:multiLevelType w:val="hybridMultilevel"/>
    <w:tmpl w:val="C87A9E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33117"/>
    <w:multiLevelType w:val="hybridMultilevel"/>
    <w:tmpl w:val="199CD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1890"/>
    <w:multiLevelType w:val="hybridMultilevel"/>
    <w:tmpl w:val="70DC24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F4C03"/>
    <w:multiLevelType w:val="hybridMultilevel"/>
    <w:tmpl w:val="000E55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44CEA"/>
    <w:multiLevelType w:val="hybridMultilevel"/>
    <w:tmpl w:val="BA340E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80396"/>
    <w:multiLevelType w:val="multilevel"/>
    <w:tmpl w:val="A34C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D47D3"/>
    <w:multiLevelType w:val="hybridMultilevel"/>
    <w:tmpl w:val="A770E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F6E6A"/>
    <w:multiLevelType w:val="hybridMultilevel"/>
    <w:tmpl w:val="34B21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B4E15"/>
    <w:multiLevelType w:val="hybridMultilevel"/>
    <w:tmpl w:val="97DC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37865"/>
    <w:multiLevelType w:val="multilevel"/>
    <w:tmpl w:val="24B6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6516A7"/>
    <w:multiLevelType w:val="hybridMultilevel"/>
    <w:tmpl w:val="5E28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0158E"/>
    <w:multiLevelType w:val="multilevel"/>
    <w:tmpl w:val="4698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F024A"/>
    <w:multiLevelType w:val="hybridMultilevel"/>
    <w:tmpl w:val="7E04C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D767D"/>
    <w:multiLevelType w:val="hybridMultilevel"/>
    <w:tmpl w:val="36803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B619E"/>
    <w:multiLevelType w:val="hybridMultilevel"/>
    <w:tmpl w:val="904AD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429338">
    <w:abstractNumId w:val="16"/>
  </w:num>
  <w:num w:numId="2" w16cid:durableId="2074035300">
    <w:abstractNumId w:val="15"/>
  </w:num>
  <w:num w:numId="3" w16cid:durableId="2070687373">
    <w:abstractNumId w:val="4"/>
  </w:num>
  <w:num w:numId="4" w16cid:durableId="2143694600">
    <w:abstractNumId w:val="9"/>
  </w:num>
  <w:num w:numId="5" w16cid:durableId="1929532033">
    <w:abstractNumId w:val="11"/>
  </w:num>
  <w:num w:numId="6" w16cid:durableId="281693804">
    <w:abstractNumId w:val="10"/>
  </w:num>
  <w:num w:numId="7" w16cid:durableId="204370189">
    <w:abstractNumId w:val="2"/>
  </w:num>
  <w:num w:numId="8" w16cid:durableId="448936507">
    <w:abstractNumId w:val="0"/>
  </w:num>
  <w:num w:numId="9" w16cid:durableId="52045647">
    <w:abstractNumId w:val="5"/>
  </w:num>
  <w:num w:numId="10" w16cid:durableId="1189291270">
    <w:abstractNumId w:val="6"/>
  </w:num>
  <w:num w:numId="11" w16cid:durableId="1173838809">
    <w:abstractNumId w:val="12"/>
  </w:num>
  <w:num w:numId="12" w16cid:durableId="1219829154">
    <w:abstractNumId w:val="17"/>
  </w:num>
  <w:num w:numId="13" w16cid:durableId="449056867">
    <w:abstractNumId w:val="3"/>
  </w:num>
  <w:num w:numId="14" w16cid:durableId="894193728">
    <w:abstractNumId w:val="1"/>
  </w:num>
  <w:num w:numId="15" w16cid:durableId="506752843">
    <w:abstractNumId w:val="13"/>
  </w:num>
  <w:num w:numId="16" w16cid:durableId="1538348944">
    <w:abstractNumId w:val="14"/>
  </w:num>
  <w:num w:numId="17" w16cid:durableId="379667261">
    <w:abstractNumId w:val="8"/>
  </w:num>
  <w:num w:numId="18" w16cid:durableId="1762018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48"/>
    <w:rsid w:val="00003671"/>
    <w:rsid w:val="0000697A"/>
    <w:rsid w:val="00025299"/>
    <w:rsid w:val="00036B1E"/>
    <w:rsid w:val="00097537"/>
    <w:rsid w:val="000E1D1C"/>
    <w:rsid w:val="00101782"/>
    <w:rsid w:val="00191E8F"/>
    <w:rsid w:val="001B7171"/>
    <w:rsid w:val="0024077F"/>
    <w:rsid w:val="002A2766"/>
    <w:rsid w:val="002C1E68"/>
    <w:rsid w:val="003546AD"/>
    <w:rsid w:val="00386ED9"/>
    <w:rsid w:val="003B3E63"/>
    <w:rsid w:val="003B6109"/>
    <w:rsid w:val="003E5994"/>
    <w:rsid w:val="003F2517"/>
    <w:rsid w:val="00404EC5"/>
    <w:rsid w:val="00406EA3"/>
    <w:rsid w:val="00465C25"/>
    <w:rsid w:val="00481AF2"/>
    <w:rsid w:val="00481FF7"/>
    <w:rsid w:val="004A3B98"/>
    <w:rsid w:val="004A5034"/>
    <w:rsid w:val="004A7DDD"/>
    <w:rsid w:val="004B4B3C"/>
    <w:rsid w:val="004C034A"/>
    <w:rsid w:val="004F6F01"/>
    <w:rsid w:val="00513746"/>
    <w:rsid w:val="00546A39"/>
    <w:rsid w:val="00563D7E"/>
    <w:rsid w:val="00570880"/>
    <w:rsid w:val="005802E5"/>
    <w:rsid w:val="00593577"/>
    <w:rsid w:val="005E04D5"/>
    <w:rsid w:val="005F5A46"/>
    <w:rsid w:val="0060622E"/>
    <w:rsid w:val="006354C5"/>
    <w:rsid w:val="00694E6B"/>
    <w:rsid w:val="006F3282"/>
    <w:rsid w:val="0070638D"/>
    <w:rsid w:val="00786742"/>
    <w:rsid w:val="007B0096"/>
    <w:rsid w:val="007B0750"/>
    <w:rsid w:val="007C0093"/>
    <w:rsid w:val="007E316A"/>
    <w:rsid w:val="007E6B79"/>
    <w:rsid w:val="00807FB8"/>
    <w:rsid w:val="008242D6"/>
    <w:rsid w:val="00841DED"/>
    <w:rsid w:val="008474F5"/>
    <w:rsid w:val="00884735"/>
    <w:rsid w:val="00887D6F"/>
    <w:rsid w:val="008D14CD"/>
    <w:rsid w:val="008E0FAB"/>
    <w:rsid w:val="008F4E9B"/>
    <w:rsid w:val="00943575"/>
    <w:rsid w:val="00970956"/>
    <w:rsid w:val="009B24FB"/>
    <w:rsid w:val="009D5F2F"/>
    <w:rsid w:val="009E3986"/>
    <w:rsid w:val="009F0C53"/>
    <w:rsid w:val="00A66D09"/>
    <w:rsid w:val="00A901EB"/>
    <w:rsid w:val="00A92535"/>
    <w:rsid w:val="00AC7DEC"/>
    <w:rsid w:val="00AD6B1E"/>
    <w:rsid w:val="00AF3C1E"/>
    <w:rsid w:val="00AF3D63"/>
    <w:rsid w:val="00AF52FF"/>
    <w:rsid w:val="00B12D75"/>
    <w:rsid w:val="00B348C7"/>
    <w:rsid w:val="00B35C96"/>
    <w:rsid w:val="00B63A06"/>
    <w:rsid w:val="00B90353"/>
    <w:rsid w:val="00BC5BD2"/>
    <w:rsid w:val="00BC65AB"/>
    <w:rsid w:val="00BD0985"/>
    <w:rsid w:val="00BF082A"/>
    <w:rsid w:val="00C032B6"/>
    <w:rsid w:val="00C10844"/>
    <w:rsid w:val="00C13CB4"/>
    <w:rsid w:val="00C15E50"/>
    <w:rsid w:val="00C33260"/>
    <w:rsid w:val="00C35486"/>
    <w:rsid w:val="00C54790"/>
    <w:rsid w:val="00C6216A"/>
    <w:rsid w:val="00C82C2B"/>
    <w:rsid w:val="00CA1580"/>
    <w:rsid w:val="00CA5399"/>
    <w:rsid w:val="00CF0259"/>
    <w:rsid w:val="00CF418A"/>
    <w:rsid w:val="00D17582"/>
    <w:rsid w:val="00D17C13"/>
    <w:rsid w:val="00D30E97"/>
    <w:rsid w:val="00D7757A"/>
    <w:rsid w:val="00D81AF1"/>
    <w:rsid w:val="00D87048"/>
    <w:rsid w:val="00DB14B8"/>
    <w:rsid w:val="00DC534F"/>
    <w:rsid w:val="00DE3435"/>
    <w:rsid w:val="00DE7016"/>
    <w:rsid w:val="00E14350"/>
    <w:rsid w:val="00E3147B"/>
    <w:rsid w:val="00E51303"/>
    <w:rsid w:val="00E83A89"/>
    <w:rsid w:val="00E84513"/>
    <w:rsid w:val="00EB5DB9"/>
    <w:rsid w:val="00EB6391"/>
    <w:rsid w:val="00EE4FDD"/>
    <w:rsid w:val="00EF4440"/>
    <w:rsid w:val="00F10117"/>
    <w:rsid w:val="00F60144"/>
    <w:rsid w:val="00F62E5F"/>
    <w:rsid w:val="00FB734D"/>
    <w:rsid w:val="00FC5DB6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173D1"/>
  <w15:chartTrackingRefBased/>
  <w15:docId w15:val="{C8D6EBF3-F295-4163-A782-D809958A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04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117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117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7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7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117"/>
    <w:rPr>
      <w:rFonts w:asciiTheme="majorHAnsi" w:eastAsiaTheme="majorEastAsia" w:hAnsiTheme="majorHAnsi" w:cstheme="majorBidi"/>
      <w:b/>
      <w:color w:val="0F4761" w:themeColor="accent1" w:themeShade="BF"/>
      <w:kern w:val="0"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10117"/>
    <w:rPr>
      <w:rFonts w:asciiTheme="majorHAnsi" w:eastAsiaTheme="majorEastAsia" w:hAnsiTheme="majorHAnsi" w:cstheme="majorBidi"/>
      <w:b/>
      <w:color w:val="0F4761" w:themeColor="accent1" w:themeShade="BF"/>
      <w:kern w:val="0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87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87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87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0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870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87048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6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B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B1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B1E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D6B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D7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3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D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y.gafari@soton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c-applications@uhs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njay.Ramamoorthy@uhs.nhs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BRC EDI Prize_Guidelines</dc:title>
  <dc:subject>
  </dc:subject>
  <dc:creator>Olatundun Gafari</dc:creator>
  <cp:keywords>
  </cp:keywords>
  <dc:description>
  </dc:description>
  <cp:lastModifiedBy>Alice Pengelly</cp:lastModifiedBy>
  <cp:revision>2</cp:revision>
  <dcterms:created xsi:type="dcterms:W3CDTF">2025-12-01T11:51:00Z</dcterms:created>
  <dcterms:modified xsi:type="dcterms:W3CDTF">2025-12-04T12:08:15Z</dcterms:modified>
</cp:coreProperties>
</file>