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935" w:type="pct"/>
        <w:shd w:val="clear" w:color="auto" w:fill="FFFFFF"/>
        <w:tblCellMar>
          <w:left w:w="0" w:type="dxa"/>
          <w:right w:w="0" w:type="dxa"/>
        </w:tblCellMar>
        <w:tblLook w:val="04A0" w:firstRow="1" w:lastRow="0" w:firstColumn="1" w:lastColumn="0" w:noHBand="0" w:noVBand="1"/>
      </w:tblPr>
      <w:tblGrid>
        <w:gridCol w:w="9475"/>
      </w:tblGrid>
      <w:tr w:rsidRPr="00AE33D7" w:rsidR="00AE33D7" w:rsidTr="009964FD">
        <w:tc>
          <w:tcPr>
            <w:tcW w:w="5000" w:type="pct"/>
            <w:tcBorders>
              <w:bottom w:val="nil"/>
            </w:tcBorders>
            <w:shd w:val="clear" w:color="auto" w:fill="FFFFFF"/>
            <w:tcMar>
              <w:top w:w="120" w:type="dxa"/>
              <w:left w:w="120" w:type="dxa"/>
              <w:bottom w:w="120" w:type="dxa"/>
              <w:right w:w="120" w:type="dxa"/>
            </w:tcMar>
            <w:hideMark/>
          </w:tcPr>
          <w:p w:rsidRPr="009964FD" w:rsidR="009964FD" w:rsidP="00A82511" w:rsidRDefault="009964FD">
            <w:pPr>
              <w:spacing w:after="60" w:line="240" w:lineRule="auto"/>
              <w:jc w:val="center"/>
              <w:outlineLvl w:val="2"/>
              <w:rPr>
                <w:rFonts w:eastAsia="Times New Roman" w:cs="Arial" w:asciiTheme="majorHAnsi" w:hAnsiTheme="majorHAnsi"/>
                <w:b/>
                <w:bCs/>
                <w:sz w:val="23"/>
                <w:szCs w:val="23"/>
              </w:rPr>
            </w:pPr>
            <w:r w:rsidRPr="00AE33D7">
              <w:rPr>
                <w:rFonts w:eastAsia="Times New Roman" w:cs="Arial" w:asciiTheme="majorHAnsi" w:hAnsiTheme="majorHAnsi"/>
                <w:b/>
                <w:bCs/>
                <w:sz w:val="36"/>
                <w:szCs w:val="36"/>
              </w:rPr>
              <w:t xml:space="preserve">Synergy between PCI with TAXUS and Cardiac Surgery: </w:t>
            </w:r>
            <w:r w:rsidRPr="00AE33D7">
              <w:rPr>
                <w:rFonts w:eastAsia="Times New Roman" w:cs="Arial" w:asciiTheme="majorHAnsi" w:hAnsiTheme="majorHAnsi"/>
                <w:b/>
                <w:bCs/>
                <w:i/>
                <w:iCs/>
                <w:sz w:val="36"/>
                <w:szCs w:val="36"/>
              </w:rPr>
              <w:t>SYNTAX E</w:t>
            </w:r>
            <w:r w:rsidRPr="00AE33D7">
              <w:rPr>
                <w:rFonts w:eastAsia="Times New Roman" w:cs="Arial" w:asciiTheme="majorHAnsi" w:hAnsiTheme="majorHAnsi"/>
                <w:b/>
                <w:bCs/>
                <w:sz w:val="36"/>
                <w:szCs w:val="36"/>
              </w:rPr>
              <w:t xml:space="preserve">xtended </w:t>
            </w:r>
            <w:r w:rsidRPr="00AE33D7">
              <w:rPr>
                <w:rFonts w:eastAsia="Times New Roman" w:cs="Arial" w:asciiTheme="majorHAnsi" w:hAnsiTheme="majorHAnsi"/>
                <w:b/>
                <w:bCs/>
                <w:i/>
                <w:iCs/>
                <w:sz w:val="36"/>
                <w:szCs w:val="36"/>
              </w:rPr>
              <w:t>S</w:t>
            </w:r>
            <w:r w:rsidRPr="00AE33D7">
              <w:rPr>
                <w:rFonts w:eastAsia="Times New Roman" w:cs="Arial" w:asciiTheme="majorHAnsi" w:hAnsiTheme="majorHAnsi"/>
                <w:b/>
                <w:bCs/>
                <w:sz w:val="36"/>
                <w:szCs w:val="36"/>
              </w:rPr>
              <w:t>urvival (SYNTAXES)</w:t>
            </w:r>
          </w:p>
        </w:tc>
      </w:tr>
      <w:tr w:rsidRPr="00AE33D7" w:rsidR="00AE33D7" w:rsidTr="009964FD">
        <w:tc>
          <w:tcPr>
            <w:tcW w:w="5000" w:type="pct"/>
            <w:tcBorders>
              <w:bottom w:val="nil"/>
            </w:tcBorders>
            <w:shd w:val="clear" w:color="auto" w:fill="FFFFFF"/>
            <w:tcMar>
              <w:top w:w="120" w:type="dxa"/>
              <w:left w:w="120" w:type="dxa"/>
              <w:bottom w:w="120" w:type="dxa"/>
              <w:right w:w="120" w:type="dxa"/>
            </w:tcMar>
            <w:hideMark/>
          </w:tcPr>
          <w:p w:rsidR="00CF22DF" w:rsidP="00015E04" w:rsidRDefault="00CF22DF">
            <w:pPr>
              <w:spacing w:after="60" w:line="240" w:lineRule="auto"/>
              <w:jc w:val="center"/>
              <w:outlineLvl w:val="5"/>
              <w:rPr>
                <w:rFonts w:eastAsia="Times New Roman" w:cs="Arial" w:asciiTheme="majorHAnsi" w:hAnsiTheme="majorHAnsi"/>
                <w:b/>
                <w:bCs/>
                <w:sz w:val="24"/>
                <w:szCs w:val="21"/>
              </w:rPr>
            </w:pPr>
            <w:r>
              <w:rPr>
                <w:rFonts w:eastAsia="Times New Roman" w:cs="Arial" w:asciiTheme="majorHAnsi" w:hAnsiTheme="majorHAnsi"/>
                <w:b/>
                <w:bCs/>
                <w:sz w:val="24"/>
                <w:szCs w:val="21"/>
              </w:rPr>
              <w:t>This is a privacy notice for patients who took part in the SYNTAX Trial</w:t>
            </w:r>
          </w:p>
          <w:p w:rsidR="00CF22DF" w:rsidP="009964FD" w:rsidRDefault="00CF22DF">
            <w:pPr>
              <w:spacing w:after="60" w:line="240" w:lineRule="auto"/>
              <w:outlineLvl w:val="5"/>
              <w:rPr>
                <w:rFonts w:eastAsia="Times New Roman" w:cs="Arial" w:asciiTheme="majorHAnsi" w:hAnsiTheme="majorHAnsi"/>
                <w:b/>
                <w:bCs/>
                <w:sz w:val="24"/>
                <w:szCs w:val="21"/>
              </w:rPr>
            </w:pPr>
          </w:p>
          <w:p w:rsidRPr="009964FD" w:rsidR="009964FD" w:rsidP="009964FD" w:rsidRDefault="009964FD">
            <w:pPr>
              <w:spacing w:after="60" w:line="240" w:lineRule="auto"/>
              <w:outlineLvl w:val="5"/>
              <w:rPr>
                <w:rFonts w:eastAsia="Times New Roman" w:cs="Arial" w:asciiTheme="majorHAnsi" w:hAnsiTheme="majorHAnsi"/>
                <w:b/>
                <w:bCs/>
                <w:sz w:val="24"/>
                <w:szCs w:val="21"/>
              </w:rPr>
            </w:pPr>
            <w:r w:rsidRPr="00AE33D7">
              <w:rPr>
                <w:rFonts w:eastAsia="Times New Roman" w:cs="Arial" w:asciiTheme="majorHAnsi" w:hAnsiTheme="majorHAnsi"/>
                <w:b/>
                <w:bCs/>
                <w:sz w:val="24"/>
                <w:szCs w:val="21"/>
              </w:rPr>
              <w:t>Duration: Dec</w:t>
            </w:r>
            <w:r w:rsidRPr="009964FD">
              <w:rPr>
                <w:rFonts w:eastAsia="Times New Roman" w:cs="Arial" w:asciiTheme="majorHAnsi" w:hAnsiTheme="majorHAnsi"/>
                <w:b/>
                <w:bCs/>
                <w:sz w:val="24"/>
                <w:szCs w:val="21"/>
              </w:rPr>
              <w:t xml:space="preserve"> 201</w:t>
            </w:r>
            <w:r w:rsidRPr="00AE33D7">
              <w:rPr>
                <w:rFonts w:eastAsia="Times New Roman" w:cs="Arial" w:asciiTheme="majorHAnsi" w:hAnsiTheme="majorHAnsi"/>
                <w:b/>
                <w:bCs/>
                <w:sz w:val="24"/>
                <w:szCs w:val="21"/>
              </w:rPr>
              <w:t>6</w:t>
            </w:r>
            <w:r w:rsidRPr="009964FD">
              <w:rPr>
                <w:rFonts w:eastAsia="Times New Roman" w:cs="Arial" w:asciiTheme="majorHAnsi" w:hAnsiTheme="majorHAnsi"/>
                <w:b/>
                <w:bCs/>
                <w:sz w:val="24"/>
                <w:szCs w:val="21"/>
              </w:rPr>
              <w:t xml:space="preserve"> - Sep-2019</w:t>
            </w:r>
          </w:p>
        </w:tc>
      </w:tr>
    </w:tbl>
    <w:p w:rsidRPr="009964FD" w:rsidR="009964FD" w:rsidP="009964FD" w:rsidRDefault="009964FD">
      <w:pPr>
        <w:shd w:val="clear" w:color="auto" w:fill="FFFFFF"/>
        <w:spacing w:after="0" w:line="360" w:lineRule="atLeast"/>
        <w:rPr>
          <w:rFonts w:eastAsia="Times New Roman" w:cs="Arial" w:asciiTheme="majorHAnsi" w:hAnsiTheme="majorHAnsi"/>
          <w:szCs w:val="18"/>
        </w:rPr>
      </w:pPr>
      <w:r w:rsidRPr="00AE33D7">
        <w:rPr>
          <w:rFonts w:eastAsia="Times New Roman" w:cs="Arial" w:asciiTheme="majorHAnsi" w:hAnsiTheme="majorHAnsi"/>
          <w:b/>
          <w:bCs/>
          <w:szCs w:val="18"/>
        </w:rPr>
        <w:t>Key contacts: </w:t>
      </w:r>
      <w:r w:rsidRPr="00AE33D7">
        <w:rPr>
          <w:rFonts w:eastAsia="Times New Roman" w:cs="Arial" w:asciiTheme="majorHAnsi" w:hAnsiTheme="majorHAnsi"/>
          <w:szCs w:val="18"/>
        </w:rPr>
        <w:t>Zoe Nicholas, Karen Banks, Daniel J.F.M. Thuijs</w:t>
      </w:r>
    </w:p>
    <w:p w:rsidRPr="009964FD" w:rsidR="009964FD" w:rsidP="009964FD" w:rsidRDefault="009964FD">
      <w:pPr>
        <w:shd w:val="clear" w:color="auto" w:fill="FFFFFF"/>
        <w:spacing w:after="0" w:line="360" w:lineRule="atLeast"/>
        <w:rPr>
          <w:rFonts w:eastAsia="Times New Roman" w:cs="Arial" w:asciiTheme="majorHAnsi" w:hAnsiTheme="majorHAnsi"/>
          <w:szCs w:val="18"/>
        </w:rPr>
      </w:pPr>
      <w:r w:rsidRPr="00AE33D7">
        <w:rPr>
          <w:rFonts w:eastAsia="Times New Roman" w:cs="Arial" w:asciiTheme="majorHAnsi" w:hAnsiTheme="majorHAnsi"/>
          <w:b/>
          <w:bCs/>
          <w:szCs w:val="18"/>
        </w:rPr>
        <w:t>Chief Investigator: </w:t>
      </w:r>
      <w:r w:rsidR="009162D3">
        <w:t>Professor</w:t>
      </w:r>
      <w:r w:rsidRPr="00AE33D7">
        <w:rPr>
          <w:rFonts w:eastAsia="Times New Roman" w:cs="Arial" w:asciiTheme="majorHAnsi" w:hAnsiTheme="majorHAnsi"/>
          <w:szCs w:val="18"/>
        </w:rPr>
        <w:t xml:space="preserve"> Nicholas Curzen</w:t>
      </w:r>
    </w:p>
    <w:p w:rsidRPr="00AE33D7" w:rsidR="009964FD" w:rsidP="009964FD" w:rsidRDefault="009964FD">
      <w:pPr>
        <w:pStyle w:val="Default"/>
        <w:rPr>
          <w:rFonts w:asciiTheme="majorHAnsi" w:hAnsiTheme="majorHAnsi"/>
          <w:color w:val="auto"/>
        </w:rPr>
      </w:pPr>
    </w:p>
    <w:p w:rsidRPr="00AE33D7" w:rsidR="009964FD" w:rsidP="009964FD" w:rsidRDefault="00A82511">
      <w:pPr>
        <w:pStyle w:val="Default"/>
        <w:rPr>
          <w:rFonts w:asciiTheme="majorHAnsi" w:hAnsiTheme="majorHAnsi"/>
          <w:color w:val="auto"/>
        </w:rPr>
      </w:pPr>
      <w:r w:rsidRPr="00AE33D7">
        <w:rPr>
          <w:rFonts w:asciiTheme="majorHAnsi" w:hAnsiTheme="majorHAnsi"/>
          <w:b/>
          <w:color w:val="auto"/>
        </w:rPr>
        <w:t>1</w:t>
      </w:r>
      <w:r w:rsidRPr="00AE33D7" w:rsidR="009964FD">
        <w:rPr>
          <w:rFonts w:asciiTheme="majorHAnsi" w:hAnsiTheme="majorHAnsi"/>
          <w:b/>
          <w:bCs/>
          <w:color w:val="auto"/>
        </w:rPr>
        <w:t xml:space="preserve">. Research category </w:t>
      </w:r>
      <w:r w:rsidRPr="00AE33D7">
        <w:rPr>
          <w:rFonts w:asciiTheme="majorHAnsi" w:hAnsiTheme="majorHAnsi"/>
          <w:b/>
          <w:bCs/>
          <w:color w:val="auto"/>
        </w:rPr>
        <w:br/>
      </w:r>
    </w:p>
    <w:p w:rsidR="00972E27" w:rsidP="00972E27" w:rsidRDefault="009964FD">
      <w:pPr>
        <w:rPr>
          <w:rFonts w:asciiTheme="majorHAnsi" w:hAnsiTheme="majorHAnsi"/>
          <w:sz w:val="24"/>
          <w:szCs w:val="24"/>
        </w:rPr>
      </w:pPr>
      <w:r w:rsidRPr="00AE33D7">
        <w:rPr>
          <w:rFonts w:asciiTheme="majorHAnsi" w:hAnsiTheme="majorHAnsi"/>
          <w:sz w:val="24"/>
          <w:szCs w:val="24"/>
        </w:rPr>
        <w:t>The SYNTAX trial was originally a</w:t>
      </w:r>
      <w:r w:rsidRPr="002E5A9D">
        <w:rPr>
          <w:rFonts w:asciiTheme="majorHAnsi" w:hAnsiTheme="majorHAnsi"/>
          <w:sz w:val="24"/>
          <w:szCs w:val="24"/>
        </w:rPr>
        <w:t xml:space="preserve"> multicentre</w:t>
      </w:r>
      <w:r w:rsidRPr="00AE33D7">
        <w:rPr>
          <w:rFonts w:asciiTheme="majorHAnsi" w:hAnsiTheme="majorHAnsi"/>
          <w:sz w:val="24"/>
          <w:szCs w:val="24"/>
        </w:rPr>
        <w:t xml:space="preserve">, randomized clinical trial to compare the efficacy of percutaneous coronary intervention (PCI) and coronary artery bypass grafting (CABG) up to 5-year follow-up. </w:t>
      </w:r>
      <w:r w:rsidRPr="00E96646" w:rsidR="00E96646">
        <w:rPr>
          <w:rFonts w:asciiTheme="majorHAnsi" w:hAnsiTheme="majorHAnsi"/>
          <w:b/>
          <w:sz w:val="24"/>
          <w:szCs w:val="24"/>
        </w:rPr>
        <w:t>SYNTAXES</w:t>
      </w:r>
      <w:r w:rsidR="00E96646">
        <w:rPr>
          <w:rFonts w:asciiTheme="majorHAnsi" w:hAnsiTheme="majorHAnsi"/>
          <w:sz w:val="24"/>
          <w:szCs w:val="24"/>
        </w:rPr>
        <w:t>, t</w:t>
      </w:r>
      <w:r w:rsidRPr="00AE33D7">
        <w:rPr>
          <w:rFonts w:asciiTheme="majorHAnsi" w:hAnsiTheme="majorHAnsi"/>
          <w:sz w:val="24"/>
          <w:szCs w:val="24"/>
        </w:rPr>
        <w:t>he current 10-year follow-up study</w:t>
      </w:r>
      <w:r w:rsidR="00E96646">
        <w:rPr>
          <w:rFonts w:asciiTheme="majorHAnsi" w:hAnsiTheme="majorHAnsi"/>
          <w:sz w:val="24"/>
          <w:szCs w:val="24"/>
        </w:rPr>
        <w:t xml:space="preserve">, is </w:t>
      </w:r>
      <w:r w:rsidRPr="00AE33D7">
        <w:rPr>
          <w:rFonts w:asciiTheme="majorHAnsi" w:hAnsiTheme="majorHAnsi"/>
          <w:sz w:val="24"/>
          <w:szCs w:val="24"/>
        </w:rPr>
        <w:t xml:space="preserve">an investigator-driven, retrospective, non-interventional and multicentre study to compare the long-term survival with PCI using paclitaxel-eluting stents versus CABG. Ethical committee approval </w:t>
      </w:r>
      <w:r w:rsidR="00E96646">
        <w:rPr>
          <w:rFonts w:asciiTheme="majorHAnsi" w:hAnsiTheme="majorHAnsi"/>
          <w:sz w:val="24"/>
          <w:szCs w:val="24"/>
        </w:rPr>
        <w:t>was previously provided for the</w:t>
      </w:r>
      <w:r w:rsidRPr="00AE33D7">
        <w:rPr>
          <w:rFonts w:asciiTheme="majorHAnsi" w:hAnsiTheme="majorHAnsi"/>
          <w:sz w:val="24"/>
          <w:szCs w:val="24"/>
        </w:rPr>
        <w:t xml:space="preserve"> SYNTAX study. The SYNTAXES study </w:t>
      </w:r>
      <w:r w:rsidR="00CF22DF">
        <w:rPr>
          <w:rFonts w:asciiTheme="majorHAnsi" w:hAnsiTheme="majorHAnsi"/>
          <w:sz w:val="24"/>
          <w:szCs w:val="24"/>
        </w:rPr>
        <w:t xml:space="preserve">has received ethical approval and is currently </w:t>
      </w:r>
      <w:r w:rsidRPr="00AE33D7">
        <w:rPr>
          <w:rFonts w:asciiTheme="majorHAnsi" w:hAnsiTheme="majorHAnsi"/>
          <w:sz w:val="24"/>
          <w:szCs w:val="24"/>
        </w:rPr>
        <w:t>reg</w:t>
      </w:r>
      <w:r w:rsidR="00A12952">
        <w:rPr>
          <w:rFonts w:asciiTheme="majorHAnsi" w:hAnsiTheme="majorHAnsi"/>
          <w:sz w:val="24"/>
          <w:szCs w:val="24"/>
        </w:rPr>
        <w:t xml:space="preserve">istered on ClinicalTrials.gov: </w:t>
      </w:r>
      <w:hyperlink w:history="1" r:id="rId5">
        <w:r w:rsidRPr="00972E27">
          <w:rPr>
            <w:rStyle w:val="Hyperlink"/>
            <w:rFonts w:asciiTheme="majorHAnsi" w:hAnsiTheme="majorHAnsi"/>
            <w:sz w:val="24"/>
            <w:szCs w:val="24"/>
          </w:rPr>
          <w:t>NCT0341705</w:t>
        </w:r>
        <w:r w:rsidRPr="00972E27" w:rsidR="00972E27">
          <w:rPr>
            <w:rStyle w:val="Hyperlink"/>
            <w:rFonts w:asciiTheme="majorHAnsi" w:hAnsiTheme="majorHAnsi"/>
            <w:sz w:val="24"/>
            <w:szCs w:val="24"/>
          </w:rPr>
          <w:t>0</w:t>
        </w:r>
      </w:hyperlink>
      <w:r w:rsidRPr="00AE33D7">
        <w:rPr>
          <w:rFonts w:asciiTheme="majorHAnsi" w:hAnsiTheme="majorHAnsi"/>
          <w:sz w:val="24"/>
          <w:szCs w:val="24"/>
        </w:rPr>
        <w:t>.</w:t>
      </w:r>
    </w:p>
    <w:p w:rsidR="00972E27" w:rsidP="00972E27" w:rsidRDefault="00972E27">
      <w:pPr>
        <w:rPr>
          <w:rFonts w:asciiTheme="majorHAnsi" w:hAnsiTheme="majorHAnsi"/>
          <w:sz w:val="24"/>
          <w:szCs w:val="24"/>
        </w:rPr>
      </w:pPr>
    </w:p>
    <w:p w:rsidRPr="00AE33D7" w:rsidR="009964FD" w:rsidP="00972E27" w:rsidRDefault="009964FD">
      <w:pPr>
        <w:rPr>
          <w:rFonts w:asciiTheme="majorHAnsi" w:hAnsiTheme="majorHAnsi"/>
          <w:sz w:val="24"/>
          <w:szCs w:val="24"/>
        </w:rPr>
      </w:pPr>
      <w:r w:rsidRPr="00AE33D7">
        <w:rPr>
          <w:rFonts w:asciiTheme="majorHAnsi" w:hAnsiTheme="majorHAnsi"/>
          <w:sz w:val="24"/>
          <w:szCs w:val="24"/>
        </w:rPr>
        <w:t xml:space="preserve"> </w:t>
      </w:r>
      <w:r w:rsidRPr="00AE33D7" w:rsidR="00A82511">
        <w:rPr>
          <w:rFonts w:asciiTheme="majorHAnsi" w:hAnsiTheme="majorHAnsi"/>
          <w:b/>
          <w:sz w:val="24"/>
          <w:szCs w:val="24"/>
        </w:rPr>
        <w:t>2</w:t>
      </w:r>
      <w:r w:rsidRPr="00AE33D7">
        <w:rPr>
          <w:rFonts w:asciiTheme="majorHAnsi" w:hAnsiTheme="majorHAnsi"/>
          <w:b/>
          <w:bCs/>
          <w:sz w:val="24"/>
          <w:szCs w:val="24"/>
        </w:rPr>
        <w:t xml:space="preserve">. Background </w:t>
      </w:r>
      <w:r w:rsidR="00972E27">
        <w:rPr>
          <w:rFonts w:asciiTheme="majorHAnsi" w:hAnsiTheme="majorHAnsi"/>
          <w:b/>
          <w:bCs/>
          <w:sz w:val="24"/>
          <w:szCs w:val="24"/>
        </w:rPr>
        <w:br/>
      </w:r>
      <w:r w:rsidR="00972E27">
        <w:rPr>
          <w:rFonts w:asciiTheme="majorHAnsi" w:hAnsiTheme="majorHAnsi"/>
          <w:b/>
          <w:bCs/>
          <w:sz w:val="24"/>
          <w:szCs w:val="24"/>
        </w:rPr>
        <w:br/>
      </w:r>
      <w:r w:rsidRPr="00AE33D7">
        <w:rPr>
          <w:rFonts w:asciiTheme="majorHAnsi" w:hAnsiTheme="majorHAnsi"/>
          <w:sz w:val="24"/>
          <w:szCs w:val="24"/>
        </w:rPr>
        <w:t>Ischemic heart disease remains the number one cause of death in Western countries</w:t>
      </w:r>
      <w:r w:rsidR="00E96646">
        <w:rPr>
          <w:rFonts w:asciiTheme="majorHAnsi" w:hAnsiTheme="majorHAnsi"/>
          <w:sz w:val="24"/>
          <w:szCs w:val="24"/>
        </w:rPr>
        <w:t>.</w:t>
      </w:r>
      <w:r w:rsidRPr="00AE33D7">
        <w:rPr>
          <w:rFonts w:asciiTheme="majorHAnsi" w:hAnsiTheme="majorHAnsi"/>
          <w:sz w:val="24"/>
          <w:szCs w:val="24"/>
        </w:rPr>
        <w:t xml:space="preserve"> PCI and CABG are excellent treatment options for patients requiring myocardial revascularization. Randomized comparisons between PCI and CABG are extremely costly and therefore limited studies have been performed to determine the best treatment. The SYNTAX trial was the first large-scale randomized trial that randomly assigned patients to CABG versus PCI with drug-eluting stents, and is currently considered to be the most important trial of CABG versus PCI. </w:t>
      </w:r>
    </w:p>
    <w:p w:rsidRPr="00AE33D7" w:rsidR="009964FD" w:rsidP="009964FD" w:rsidRDefault="009964FD">
      <w:pPr>
        <w:rPr>
          <w:rFonts w:asciiTheme="majorHAnsi" w:hAnsiTheme="majorHAnsi"/>
          <w:sz w:val="24"/>
          <w:szCs w:val="24"/>
        </w:rPr>
      </w:pPr>
      <w:r w:rsidRPr="00AE33D7">
        <w:rPr>
          <w:rFonts w:asciiTheme="majorHAnsi" w:hAnsiTheme="majorHAnsi"/>
          <w:sz w:val="24"/>
          <w:szCs w:val="24"/>
        </w:rPr>
        <w:t>The primary endpoint of the trial showed that PCI was not non-inferior to CABG in terms of major adverse cardiac or cerebrovascular events (MACCE) at one year. Follow-up to 5 years demonstrated that curves continued to diverge between PCI and CABG, with significantly lower rates of cardiac death, myocardial infarction and repeat revascularization in favour of CABG. Findings from subgroup analyses have been crucial in determining the most appropriate treatment strategy according to baseline factors. Outcomes differ</w:t>
      </w:r>
      <w:r w:rsidR="00E96646">
        <w:rPr>
          <w:rFonts w:asciiTheme="majorHAnsi" w:hAnsiTheme="majorHAnsi"/>
          <w:sz w:val="24"/>
          <w:szCs w:val="24"/>
        </w:rPr>
        <w:t>ed</w:t>
      </w:r>
      <w:r w:rsidRPr="00AE33D7">
        <w:rPr>
          <w:rFonts w:asciiTheme="majorHAnsi" w:hAnsiTheme="majorHAnsi"/>
          <w:sz w:val="24"/>
          <w:szCs w:val="24"/>
        </w:rPr>
        <w:t xml:space="preserve"> substantially between patients with</w:t>
      </w:r>
      <w:r w:rsidR="00E96646">
        <w:rPr>
          <w:rFonts w:asciiTheme="majorHAnsi" w:hAnsiTheme="majorHAnsi"/>
          <w:sz w:val="24"/>
          <w:szCs w:val="24"/>
        </w:rPr>
        <w:t xml:space="preserve"> three vessel disease</w:t>
      </w:r>
      <w:r w:rsidRPr="00AE33D7">
        <w:rPr>
          <w:rFonts w:asciiTheme="majorHAnsi" w:hAnsiTheme="majorHAnsi"/>
          <w:sz w:val="24"/>
          <w:szCs w:val="24"/>
        </w:rPr>
        <w:t xml:space="preserve"> </w:t>
      </w:r>
      <w:r w:rsidR="00E96646">
        <w:rPr>
          <w:rFonts w:asciiTheme="majorHAnsi" w:hAnsiTheme="majorHAnsi"/>
          <w:sz w:val="24"/>
          <w:szCs w:val="24"/>
        </w:rPr>
        <w:t>(</w:t>
      </w:r>
      <w:r w:rsidRPr="00AE33D7">
        <w:rPr>
          <w:rFonts w:asciiTheme="majorHAnsi" w:hAnsiTheme="majorHAnsi"/>
          <w:sz w:val="24"/>
          <w:szCs w:val="24"/>
        </w:rPr>
        <w:t>3VD</w:t>
      </w:r>
      <w:r w:rsidR="00E96646">
        <w:rPr>
          <w:rFonts w:asciiTheme="majorHAnsi" w:hAnsiTheme="majorHAnsi"/>
          <w:sz w:val="24"/>
          <w:szCs w:val="24"/>
        </w:rPr>
        <w:t>)</w:t>
      </w:r>
      <w:r w:rsidRPr="00AE33D7">
        <w:rPr>
          <w:rFonts w:asciiTheme="majorHAnsi" w:hAnsiTheme="majorHAnsi"/>
          <w:sz w:val="24"/>
          <w:szCs w:val="24"/>
        </w:rPr>
        <w:t xml:space="preserve"> or </w:t>
      </w:r>
      <w:r w:rsidR="00E96646">
        <w:rPr>
          <w:rFonts w:asciiTheme="majorHAnsi" w:hAnsiTheme="majorHAnsi"/>
          <w:sz w:val="24"/>
          <w:szCs w:val="24"/>
        </w:rPr>
        <w:t>left main (</w:t>
      </w:r>
      <w:r w:rsidRPr="00AE33D7">
        <w:rPr>
          <w:rFonts w:asciiTheme="majorHAnsi" w:hAnsiTheme="majorHAnsi"/>
          <w:sz w:val="24"/>
          <w:szCs w:val="24"/>
        </w:rPr>
        <w:t>LM</w:t>
      </w:r>
      <w:r w:rsidR="00E96646">
        <w:rPr>
          <w:rFonts w:asciiTheme="majorHAnsi" w:hAnsiTheme="majorHAnsi"/>
          <w:sz w:val="24"/>
          <w:szCs w:val="24"/>
        </w:rPr>
        <w:t>)</w:t>
      </w:r>
      <w:r w:rsidRPr="00AE33D7">
        <w:rPr>
          <w:rFonts w:asciiTheme="majorHAnsi" w:hAnsiTheme="majorHAnsi"/>
          <w:sz w:val="24"/>
          <w:szCs w:val="24"/>
        </w:rPr>
        <w:t xml:space="preserve"> diseas</w:t>
      </w:r>
      <w:r w:rsidR="00E96646">
        <w:rPr>
          <w:rFonts w:asciiTheme="majorHAnsi" w:hAnsiTheme="majorHAnsi"/>
          <w:sz w:val="24"/>
          <w:szCs w:val="24"/>
        </w:rPr>
        <w:t>e. T</w:t>
      </w:r>
      <w:r w:rsidRPr="00AE33D7">
        <w:rPr>
          <w:rFonts w:asciiTheme="majorHAnsi" w:hAnsiTheme="majorHAnsi"/>
          <w:sz w:val="24"/>
          <w:szCs w:val="24"/>
        </w:rPr>
        <w:t xml:space="preserve">hose with LM disease had similar outcomes with PCI and CABG, while </w:t>
      </w:r>
      <w:r w:rsidRPr="00AE33D7">
        <w:rPr>
          <w:rFonts w:asciiTheme="majorHAnsi" w:hAnsiTheme="majorHAnsi"/>
          <w:sz w:val="24"/>
          <w:szCs w:val="24"/>
        </w:rPr>
        <w:lastRenderedPageBreak/>
        <w:t xml:space="preserve">those with 3VD had significantly better outcomes with CABG. In addition, the SYNTAX score, an angiographically based risk model, showed </w:t>
      </w:r>
      <w:r w:rsidR="00E96646">
        <w:rPr>
          <w:rFonts w:asciiTheme="majorHAnsi" w:hAnsiTheme="majorHAnsi"/>
          <w:sz w:val="24"/>
          <w:szCs w:val="24"/>
        </w:rPr>
        <w:t xml:space="preserve">itself </w:t>
      </w:r>
      <w:r w:rsidRPr="00AE33D7">
        <w:rPr>
          <w:rFonts w:asciiTheme="majorHAnsi" w:hAnsiTheme="majorHAnsi"/>
          <w:sz w:val="24"/>
          <w:szCs w:val="24"/>
        </w:rPr>
        <w:t xml:space="preserve">to be </w:t>
      </w:r>
      <w:r w:rsidRPr="00AE33D7" w:rsidR="002E5A9D">
        <w:rPr>
          <w:rFonts w:asciiTheme="majorHAnsi" w:hAnsiTheme="majorHAnsi"/>
          <w:sz w:val="24"/>
          <w:szCs w:val="24"/>
        </w:rPr>
        <w:t>a</w:t>
      </w:r>
      <w:r w:rsidRPr="00AE33D7">
        <w:rPr>
          <w:rFonts w:asciiTheme="majorHAnsi" w:hAnsiTheme="majorHAnsi"/>
          <w:sz w:val="24"/>
          <w:szCs w:val="24"/>
        </w:rPr>
        <w:t xml:space="preserve"> useful tool to stratify which patients should undergo PCI or CABG, with CABG being the preferred strategy especially in patients with more complex lesions. </w:t>
      </w:r>
    </w:p>
    <w:p w:rsidR="00972E27" w:rsidP="00A82511" w:rsidRDefault="00E96646">
      <w:pPr>
        <w:rPr>
          <w:rFonts w:asciiTheme="majorHAnsi" w:hAnsiTheme="majorHAnsi"/>
          <w:sz w:val="24"/>
          <w:szCs w:val="24"/>
        </w:rPr>
      </w:pPr>
      <w:r>
        <w:rPr>
          <w:rFonts w:asciiTheme="majorHAnsi" w:hAnsiTheme="majorHAnsi"/>
          <w:sz w:val="24"/>
          <w:szCs w:val="24"/>
        </w:rPr>
        <w:t>B</w:t>
      </w:r>
      <w:r w:rsidRPr="00AE33D7" w:rsidR="009964FD">
        <w:rPr>
          <w:rFonts w:asciiTheme="majorHAnsi" w:hAnsiTheme="majorHAnsi"/>
          <w:sz w:val="24"/>
          <w:szCs w:val="24"/>
        </w:rPr>
        <w:t xml:space="preserve">oth European and North American guidelines on PCI and CABG have been heavily influenced by the results of 5-year follow-up results from the SYNTAX trial. </w:t>
      </w:r>
      <w:r w:rsidR="00571133">
        <w:rPr>
          <w:rFonts w:asciiTheme="majorHAnsi" w:hAnsiTheme="majorHAnsi"/>
          <w:sz w:val="24"/>
          <w:szCs w:val="24"/>
        </w:rPr>
        <w:t>T</w:t>
      </w:r>
      <w:r w:rsidRPr="00AE33D7" w:rsidR="009964FD">
        <w:rPr>
          <w:rFonts w:asciiTheme="majorHAnsi" w:hAnsiTheme="majorHAnsi"/>
          <w:sz w:val="24"/>
          <w:szCs w:val="24"/>
        </w:rPr>
        <w:t xml:space="preserve">he SYNTAX trial was </w:t>
      </w:r>
      <w:r w:rsidR="00CF22DF">
        <w:rPr>
          <w:rFonts w:asciiTheme="majorHAnsi" w:hAnsiTheme="majorHAnsi"/>
          <w:sz w:val="24"/>
          <w:szCs w:val="24"/>
        </w:rPr>
        <w:t xml:space="preserve">completed at 5 years follow-up. </w:t>
      </w:r>
      <w:r w:rsidRPr="00AE33D7" w:rsidR="009964FD">
        <w:rPr>
          <w:rFonts w:asciiTheme="majorHAnsi" w:hAnsiTheme="majorHAnsi"/>
          <w:sz w:val="24"/>
          <w:szCs w:val="24"/>
        </w:rPr>
        <w:t>Other previous trials on PCI versus CABG have also not extended follow-up beyond 5 years, with the exception of the GABI and BARI trials. Therefore, numerous questions on the debate of CABG versus PCI remain unanswered.</w:t>
      </w:r>
      <w:r>
        <w:rPr>
          <w:rFonts w:asciiTheme="majorHAnsi" w:hAnsiTheme="majorHAnsi"/>
          <w:sz w:val="24"/>
          <w:szCs w:val="24"/>
        </w:rPr>
        <w:t xml:space="preserve"> S</w:t>
      </w:r>
      <w:r w:rsidRPr="00AE33D7" w:rsidR="009964FD">
        <w:rPr>
          <w:rFonts w:asciiTheme="majorHAnsi" w:hAnsiTheme="majorHAnsi"/>
          <w:sz w:val="24"/>
          <w:szCs w:val="24"/>
        </w:rPr>
        <w:t xml:space="preserve">ubgroup analyses, which have more limited statistical power because of </w:t>
      </w:r>
      <w:r>
        <w:rPr>
          <w:rFonts w:asciiTheme="majorHAnsi" w:hAnsiTheme="majorHAnsi"/>
          <w:sz w:val="24"/>
          <w:szCs w:val="24"/>
        </w:rPr>
        <w:t xml:space="preserve">the </w:t>
      </w:r>
      <w:r w:rsidRPr="00AE33D7" w:rsidR="009964FD">
        <w:rPr>
          <w:rFonts w:asciiTheme="majorHAnsi" w:hAnsiTheme="majorHAnsi"/>
          <w:sz w:val="24"/>
          <w:szCs w:val="24"/>
        </w:rPr>
        <w:t>smaller groups, could significantly benefit from extended follow-up. The key objective of this study is to provide long-term data on PCI with drug-eluting stents versus CABG for complex coronary artery disease</w:t>
      </w:r>
      <w:r>
        <w:rPr>
          <w:rFonts w:asciiTheme="majorHAnsi" w:hAnsiTheme="majorHAnsi"/>
          <w:sz w:val="24"/>
          <w:szCs w:val="24"/>
        </w:rPr>
        <w:t>,</w:t>
      </w:r>
      <w:r w:rsidRPr="00AE33D7" w:rsidR="009964FD">
        <w:rPr>
          <w:rFonts w:asciiTheme="majorHAnsi" w:hAnsiTheme="majorHAnsi"/>
          <w:sz w:val="24"/>
          <w:szCs w:val="24"/>
        </w:rPr>
        <w:t xml:space="preserve"> and identify key factors for decision-making between both therapies.  </w:t>
      </w:r>
    </w:p>
    <w:p w:rsidR="00972E27" w:rsidP="00A82511" w:rsidRDefault="00972E27">
      <w:pPr>
        <w:rPr>
          <w:rFonts w:asciiTheme="majorHAnsi" w:hAnsiTheme="majorHAnsi"/>
          <w:sz w:val="24"/>
          <w:szCs w:val="24"/>
        </w:rPr>
      </w:pPr>
    </w:p>
    <w:p w:rsidRPr="00972E27" w:rsidR="00A82511" w:rsidP="00A82511" w:rsidRDefault="00A82511">
      <w:pPr>
        <w:rPr>
          <w:rFonts w:asciiTheme="majorHAnsi" w:hAnsiTheme="majorHAnsi"/>
          <w:sz w:val="24"/>
          <w:szCs w:val="24"/>
        </w:rPr>
      </w:pPr>
      <w:r w:rsidRPr="00AE33D7">
        <w:rPr>
          <w:rFonts w:asciiTheme="majorHAnsi" w:hAnsiTheme="majorHAnsi"/>
          <w:b/>
          <w:bCs/>
          <w:sz w:val="24"/>
          <w:szCs w:val="24"/>
        </w:rPr>
        <w:t xml:space="preserve">3. Objectives </w:t>
      </w:r>
    </w:p>
    <w:p w:rsidR="00972E27" w:rsidP="00A82511" w:rsidRDefault="00A82511">
      <w:pPr>
        <w:rPr>
          <w:rFonts w:asciiTheme="majorHAnsi" w:hAnsiTheme="majorHAnsi"/>
          <w:sz w:val="24"/>
          <w:szCs w:val="24"/>
        </w:rPr>
      </w:pPr>
      <w:r w:rsidRPr="00AE33D7">
        <w:rPr>
          <w:rFonts w:asciiTheme="majorHAnsi" w:hAnsiTheme="majorHAnsi"/>
          <w:sz w:val="24"/>
          <w:szCs w:val="24"/>
        </w:rPr>
        <w:t>Provide long-term survival-data (10 year follow-up) on PCI with drug-eluting stents versus CABG for complex three-vessel or left main coronary artery disease</w:t>
      </w:r>
      <w:r w:rsidR="00E96646">
        <w:rPr>
          <w:rFonts w:asciiTheme="majorHAnsi" w:hAnsiTheme="majorHAnsi"/>
          <w:sz w:val="24"/>
          <w:szCs w:val="24"/>
        </w:rPr>
        <w:t>,</w:t>
      </w:r>
      <w:r w:rsidRPr="00AE33D7">
        <w:rPr>
          <w:rFonts w:asciiTheme="majorHAnsi" w:hAnsiTheme="majorHAnsi"/>
          <w:sz w:val="24"/>
          <w:szCs w:val="24"/>
        </w:rPr>
        <w:t xml:space="preserve"> and identify patient characteristics and key factors that should be discu</w:t>
      </w:r>
      <w:r w:rsidR="00E96646">
        <w:rPr>
          <w:rFonts w:asciiTheme="majorHAnsi" w:hAnsiTheme="majorHAnsi"/>
          <w:sz w:val="24"/>
          <w:szCs w:val="24"/>
        </w:rPr>
        <w:t>ssed during Heart Team decision making between Interventional Cardiologists and Cardiac S</w:t>
      </w:r>
      <w:r w:rsidRPr="00AE33D7">
        <w:rPr>
          <w:rFonts w:asciiTheme="majorHAnsi" w:hAnsiTheme="majorHAnsi"/>
          <w:sz w:val="24"/>
          <w:szCs w:val="24"/>
        </w:rPr>
        <w:t>urgeons.</w:t>
      </w:r>
    </w:p>
    <w:p w:rsidR="00972E27" w:rsidP="00A82511" w:rsidRDefault="00972E27">
      <w:pPr>
        <w:rPr>
          <w:rFonts w:asciiTheme="majorHAnsi" w:hAnsiTheme="majorHAnsi"/>
          <w:sz w:val="24"/>
          <w:szCs w:val="24"/>
        </w:rPr>
      </w:pPr>
    </w:p>
    <w:p w:rsidRPr="00972E27" w:rsidR="00A82511" w:rsidP="00A82511" w:rsidRDefault="00A82511">
      <w:pPr>
        <w:rPr>
          <w:rFonts w:asciiTheme="majorHAnsi" w:hAnsiTheme="majorHAnsi"/>
          <w:sz w:val="24"/>
          <w:szCs w:val="24"/>
        </w:rPr>
      </w:pPr>
      <w:r w:rsidRPr="00AE33D7">
        <w:rPr>
          <w:rFonts w:asciiTheme="majorHAnsi" w:hAnsiTheme="majorHAnsi"/>
          <w:b/>
          <w:bCs/>
          <w:sz w:val="24"/>
          <w:szCs w:val="24"/>
        </w:rPr>
        <w:t xml:space="preserve">4. Data collection </w:t>
      </w:r>
    </w:p>
    <w:p w:rsidR="00445E35" w:rsidP="00445E35" w:rsidRDefault="00A82511">
      <w:pPr>
        <w:pStyle w:val="NoSpacing"/>
        <w:rPr>
          <w:rFonts w:cs="Cambria" w:asciiTheme="majorHAnsi" w:hAnsiTheme="majorHAnsi"/>
          <w:sz w:val="24"/>
          <w:szCs w:val="24"/>
        </w:rPr>
      </w:pPr>
      <w:r w:rsidRPr="00445E35">
        <w:rPr>
          <w:rFonts w:asciiTheme="majorHAnsi" w:hAnsiTheme="majorHAnsi"/>
          <w:sz w:val="24"/>
          <w:szCs w:val="24"/>
        </w:rPr>
        <w:t xml:space="preserve">The previous SYNTAX study protocol was approved by the institutional review board of all 85 </w:t>
      </w:r>
      <w:r w:rsidRPr="00445E35" w:rsidR="00A93834">
        <w:rPr>
          <w:rFonts w:asciiTheme="majorHAnsi" w:hAnsiTheme="majorHAnsi"/>
          <w:sz w:val="24"/>
          <w:szCs w:val="24"/>
        </w:rPr>
        <w:t>participating hospitals</w:t>
      </w:r>
      <w:r w:rsidRPr="00445E35" w:rsidR="00E96646">
        <w:rPr>
          <w:rFonts w:asciiTheme="majorHAnsi" w:hAnsiTheme="majorHAnsi"/>
          <w:sz w:val="24"/>
          <w:szCs w:val="24"/>
        </w:rPr>
        <w:t>,</w:t>
      </w:r>
      <w:r w:rsidRPr="00445E35" w:rsidR="00A93834">
        <w:rPr>
          <w:rFonts w:asciiTheme="majorHAnsi" w:hAnsiTheme="majorHAnsi"/>
          <w:sz w:val="24"/>
          <w:szCs w:val="24"/>
        </w:rPr>
        <w:t xml:space="preserve"> </w:t>
      </w:r>
      <w:r w:rsidRPr="00445E35">
        <w:rPr>
          <w:rFonts w:asciiTheme="majorHAnsi" w:hAnsiTheme="majorHAnsi"/>
          <w:sz w:val="24"/>
          <w:szCs w:val="24"/>
        </w:rPr>
        <w:t>and is consistent with the International Conference on Harmonisation Guidance of Industry E6 Good Clinical Practice, the Declaration of Helsinki, and all local regulations. Written</w:t>
      </w:r>
      <w:r w:rsidRPr="00445E35" w:rsidR="00E96646">
        <w:rPr>
          <w:rFonts w:asciiTheme="majorHAnsi" w:hAnsiTheme="majorHAnsi"/>
          <w:sz w:val="24"/>
          <w:szCs w:val="24"/>
        </w:rPr>
        <w:t xml:space="preserve"> informed</w:t>
      </w:r>
      <w:r w:rsidRPr="00445E35">
        <w:rPr>
          <w:rFonts w:asciiTheme="majorHAnsi" w:hAnsiTheme="majorHAnsi"/>
          <w:sz w:val="24"/>
          <w:szCs w:val="24"/>
        </w:rPr>
        <w:t xml:space="preserve"> consent was obtained from all participating </w:t>
      </w:r>
      <w:r w:rsidRPr="00445E35" w:rsidR="00E96646">
        <w:rPr>
          <w:rFonts w:asciiTheme="majorHAnsi" w:hAnsiTheme="majorHAnsi"/>
          <w:sz w:val="24"/>
          <w:szCs w:val="24"/>
        </w:rPr>
        <w:t>subjects</w:t>
      </w:r>
      <w:r w:rsidRPr="00445E35">
        <w:rPr>
          <w:rFonts w:asciiTheme="majorHAnsi" w:hAnsiTheme="majorHAnsi"/>
          <w:sz w:val="24"/>
          <w:szCs w:val="24"/>
        </w:rPr>
        <w:t xml:space="preserve"> </w:t>
      </w:r>
      <w:r w:rsidRPr="00445E35" w:rsidR="00E96646">
        <w:rPr>
          <w:rFonts w:asciiTheme="majorHAnsi" w:hAnsiTheme="majorHAnsi"/>
          <w:sz w:val="24"/>
          <w:szCs w:val="24"/>
        </w:rPr>
        <w:t>at enrolment</w:t>
      </w:r>
      <w:r w:rsidRPr="00445E35">
        <w:rPr>
          <w:rFonts w:asciiTheme="majorHAnsi" w:hAnsiTheme="majorHAnsi"/>
          <w:sz w:val="24"/>
          <w:szCs w:val="24"/>
        </w:rPr>
        <w:t xml:space="preserve">, </w:t>
      </w:r>
      <w:r w:rsidRPr="00445E35" w:rsidR="00445E35">
        <w:rPr>
          <w:rFonts w:asciiTheme="majorHAnsi" w:hAnsiTheme="majorHAnsi"/>
          <w:sz w:val="24"/>
          <w:szCs w:val="24"/>
        </w:rPr>
        <w:t>inclusive of the 5 year</w:t>
      </w:r>
      <w:r w:rsidRPr="00445E35">
        <w:rPr>
          <w:rFonts w:asciiTheme="majorHAnsi" w:hAnsiTheme="majorHAnsi"/>
          <w:sz w:val="24"/>
          <w:szCs w:val="24"/>
        </w:rPr>
        <w:t xml:space="preserve"> follow-up.</w:t>
      </w:r>
      <w:r w:rsidRPr="00445E35">
        <w:rPr>
          <w:rFonts w:cs="Cambria" w:asciiTheme="majorHAnsi" w:hAnsiTheme="majorHAnsi"/>
          <w:sz w:val="24"/>
          <w:szCs w:val="24"/>
        </w:rPr>
        <w:t xml:space="preserve"> </w:t>
      </w:r>
    </w:p>
    <w:p w:rsidR="00777CE8" w:rsidP="00445E35" w:rsidRDefault="00777CE8">
      <w:pPr>
        <w:pStyle w:val="NoSpacing"/>
        <w:rPr>
          <w:rFonts w:cs="Cambria" w:asciiTheme="majorHAnsi" w:hAnsiTheme="majorHAnsi"/>
          <w:sz w:val="24"/>
          <w:szCs w:val="24"/>
        </w:rPr>
      </w:pPr>
      <w:r>
        <w:rPr>
          <w:rFonts w:cs="Cambria" w:asciiTheme="majorHAnsi" w:hAnsiTheme="majorHAnsi"/>
          <w:sz w:val="24"/>
          <w:szCs w:val="24"/>
        </w:rPr>
        <w:t xml:space="preserve">University Hospitals </w:t>
      </w:r>
      <w:r w:rsidR="00A12952">
        <w:rPr>
          <w:rFonts w:cs="Cambria" w:asciiTheme="majorHAnsi" w:hAnsiTheme="majorHAnsi"/>
          <w:sz w:val="24"/>
          <w:szCs w:val="24"/>
        </w:rPr>
        <w:t xml:space="preserve">Southampton </w:t>
      </w:r>
      <w:r>
        <w:rPr>
          <w:rFonts w:cs="Cambria" w:asciiTheme="majorHAnsi" w:hAnsiTheme="majorHAnsi"/>
          <w:sz w:val="24"/>
          <w:szCs w:val="24"/>
        </w:rPr>
        <w:t xml:space="preserve">NHS </w:t>
      </w:r>
      <w:r w:rsidR="00A12952">
        <w:rPr>
          <w:rFonts w:cs="Cambria" w:asciiTheme="majorHAnsi" w:hAnsiTheme="majorHAnsi"/>
          <w:sz w:val="24"/>
          <w:szCs w:val="24"/>
        </w:rPr>
        <w:t xml:space="preserve">Foundation </w:t>
      </w:r>
      <w:r>
        <w:rPr>
          <w:rFonts w:cs="Cambria" w:asciiTheme="majorHAnsi" w:hAnsiTheme="majorHAnsi"/>
          <w:sz w:val="24"/>
          <w:szCs w:val="24"/>
        </w:rPr>
        <w:t xml:space="preserve">Trust </w:t>
      </w:r>
      <w:r w:rsidR="00A12952">
        <w:rPr>
          <w:rFonts w:cs="Cambria" w:asciiTheme="majorHAnsi" w:hAnsiTheme="majorHAnsi"/>
          <w:sz w:val="24"/>
          <w:szCs w:val="24"/>
        </w:rPr>
        <w:t xml:space="preserve">(UHS) </w:t>
      </w:r>
      <w:r>
        <w:rPr>
          <w:rFonts w:cs="Cambria" w:asciiTheme="majorHAnsi" w:hAnsiTheme="majorHAnsi"/>
          <w:sz w:val="24"/>
          <w:szCs w:val="24"/>
        </w:rPr>
        <w:t>will act as data processor, and will be sole recipient of all patient identifiable data. UHS will</w:t>
      </w:r>
      <w:r w:rsidR="00A12952">
        <w:rPr>
          <w:rFonts w:cs="Cambria" w:asciiTheme="majorHAnsi" w:hAnsiTheme="majorHAnsi"/>
          <w:sz w:val="24"/>
          <w:szCs w:val="24"/>
        </w:rPr>
        <w:t xml:space="preserve"> contact all UK </w:t>
      </w:r>
      <w:r>
        <w:rPr>
          <w:rFonts w:cs="Cambria" w:asciiTheme="majorHAnsi" w:hAnsiTheme="majorHAnsi"/>
          <w:sz w:val="24"/>
          <w:szCs w:val="24"/>
        </w:rPr>
        <w:t>sites requesting SYNTAX study patient</w:t>
      </w:r>
      <w:r w:rsidR="00A12952">
        <w:rPr>
          <w:rFonts w:cs="Cambria" w:asciiTheme="majorHAnsi" w:hAnsiTheme="majorHAnsi"/>
          <w:sz w:val="24"/>
          <w:szCs w:val="24"/>
        </w:rPr>
        <w:t>’</w:t>
      </w:r>
      <w:r>
        <w:rPr>
          <w:rFonts w:cs="Cambria" w:asciiTheme="majorHAnsi" w:hAnsiTheme="majorHAnsi"/>
          <w:sz w:val="24"/>
          <w:szCs w:val="24"/>
        </w:rPr>
        <w:t>s</w:t>
      </w:r>
      <w:r w:rsidR="00A12952">
        <w:rPr>
          <w:rFonts w:cs="Cambria" w:asciiTheme="majorHAnsi" w:hAnsiTheme="majorHAnsi"/>
          <w:sz w:val="24"/>
          <w:szCs w:val="24"/>
        </w:rPr>
        <w:t xml:space="preserve"> and NHS numbers</w:t>
      </w:r>
      <w:r>
        <w:rPr>
          <w:rFonts w:cs="Cambria" w:asciiTheme="majorHAnsi" w:hAnsiTheme="majorHAnsi"/>
          <w:sz w:val="24"/>
          <w:szCs w:val="24"/>
        </w:rPr>
        <w:t>.</w:t>
      </w:r>
      <w:r w:rsidR="00A12952">
        <w:rPr>
          <w:rFonts w:cs="Cambria" w:asciiTheme="majorHAnsi" w:hAnsiTheme="majorHAnsi"/>
          <w:sz w:val="24"/>
          <w:szCs w:val="24"/>
        </w:rPr>
        <w:t xml:space="preserve"> </w:t>
      </w:r>
      <w:r>
        <w:rPr>
          <w:rFonts w:cs="Cambria" w:asciiTheme="majorHAnsi" w:hAnsiTheme="majorHAnsi"/>
          <w:sz w:val="24"/>
          <w:szCs w:val="24"/>
        </w:rPr>
        <w:t xml:space="preserve">When all participating sites have returned this information, UHS will request </w:t>
      </w:r>
      <w:r w:rsidR="00C13C5C">
        <w:rPr>
          <w:rFonts w:cs="Cambria" w:asciiTheme="majorHAnsi" w:hAnsiTheme="majorHAnsi"/>
          <w:sz w:val="24"/>
          <w:szCs w:val="24"/>
        </w:rPr>
        <w:t xml:space="preserve">mortality data for all English sites </w:t>
      </w:r>
      <w:r>
        <w:rPr>
          <w:rFonts w:cs="Cambria" w:asciiTheme="majorHAnsi" w:hAnsiTheme="majorHAnsi"/>
          <w:sz w:val="24"/>
          <w:szCs w:val="24"/>
        </w:rPr>
        <w:t>from NHS Digital</w:t>
      </w:r>
      <w:r w:rsidR="00C13C5C">
        <w:rPr>
          <w:rFonts w:cs="Cambria" w:asciiTheme="majorHAnsi" w:hAnsiTheme="majorHAnsi"/>
          <w:sz w:val="24"/>
          <w:szCs w:val="24"/>
        </w:rPr>
        <w:t xml:space="preserve"> at the 10 year follow-up time point</w:t>
      </w:r>
      <w:r w:rsidR="00A12952">
        <w:rPr>
          <w:rFonts w:cs="Cambria" w:asciiTheme="majorHAnsi" w:hAnsiTheme="majorHAnsi"/>
          <w:sz w:val="24"/>
          <w:szCs w:val="24"/>
        </w:rPr>
        <w:t xml:space="preserve">. </w:t>
      </w:r>
      <w:r>
        <w:rPr>
          <w:rFonts w:cs="Cambria" w:asciiTheme="majorHAnsi" w:hAnsiTheme="majorHAnsi"/>
          <w:sz w:val="24"/>
          <w:szCs w:val="24"/>
        </w:rPr>
        <w:t xml:space="preserve">The completed </w:t>
      </w:r>
      <w:r w:rsidR="007C18AB">
        <w:rPr>
          <w:rFonts w:cs="Cambria" w:asciiTheme="majorHAnsi" w:hAnsiTheme="majorHAnsi"/>
          <w:sz w:val="24"/>
          <w:szCs w:val="24"/>
        </w:rPr>
        <w:t>data set will then be redacted of all identifiable information, leaving only the patient SYNTAX study ID and 10 year vital status.</w:t>
      </w:r>
    </w:p>
    <w:p w:rsidRPr="007C18AB" w:rsidR="007C18AB" w:rsidP="007C18AB" w:rsidRDefault="007C18AB">
      <w:pPr>
        <w:pStyle w:val="NoSpacing"/>
        <w:rPr>
          <w:rFonts w:cs="Cambria" w:asciiTheme="majorHAnsi" w:hAnsiTheme="majorHAnsi"/>
          <w:sz w:val="24"/>
          <w:szCs w:val="24"/>
        </w:rPr>
      </w:pPr>
      <w:r>
        <w:rPr>
          <w:rFonts w:cs="Cambria" w:asciiTheme="majorHAnsi" w:hAnsiTheme="majorHAnsi"/>
          <w:sz w:val="24"/>
          <w:szCs w:val="24"/>
        </w:rPr>
        <w:t xml:space="preserve">The data will </w:t>
      </w:r>
      <w:r w:rsidRPr="007C18AB">
        <w:rPr>
          <w:rFonts w:cs="Cambria" w:asciiTheme="majorHAnsi" w:hAnsiTheme="majorHAnsi"/>
          <w:sz w:val="24"/>
          <w:szCs w:val="24"/>
        </w:rPr>
        <w:t xml:space="preserve">be encrypted and safely transferred to the sponsor </w:t>
      </w:r>
      <w:r>
        <w:rPr>
          <w:rFonts w:cs="Cambria" w:asciiTheme="majorHAnsi" w:hAnsiTheme="majorHAnsi"/>
          <w:sz w:val="24"/>
          <w:szCs w:val="24"/>
        </w:rPr>
        <w:t xml:space="preserve">(e.g. Principal Investigator: Dr </w:t>
      </w:r>
      <w:r w:rsidRPr="007C18AB">
        <w:rPr>
          <w:rFonts w:cs="Cambria" w:asciiTheme="majorHAnsi" w:hAnsiTheme="majorHAnsi"/>
          <w:sz w:val="24"/>
          <w:szCs w:val="24"/>
        </w:rPr>
        <w:t>Stuart J. Head and Daniel J.F.M. Thuijs, Erasmus MC, Rotterdam, The Netherlands)</w:t>
      </w:r>
      <w:r>
        <w:rPr>
          <w:rFonts w:cs="Cambria" w:asciiTheme="majorHAnsi" w:hAnsiTheme="majorHAnsi"/>
          <w:sz w:val="24"/>
          <w:szCs w:val="24"/>
        </w:rPr>
        <w:t>.</w:t>
      </w:r>
    </w:p>
    <w:p w:rsidRPr="00445E35" w:rsidR="007C18AB" w:rsidP="00445E35" w:rsidRDefault="007C18AB">
      <w:pPr>
        <w:pStyle w:val="NoSpacing"/>
        <w:rPr>
          <w:rFonts w:cs="Cambria" w:asciiTheme="majorHAnsi" w:hAnsiTheme="majorHAnsi"/>
          <w:sz w:val="24"/>
          <w:szCs w:val="24"/>
        </w:rPr>
      </w:pPr>
    </w:p>
    <w:p w:rsidRPr="00445E35" w:rsidR="00445E35" w:rsidP="00445E35" w:rsidRDefault="00445E35">
      <w:pPr>
        <w:pStyle w:val="NoSpacing"/>
        <w:rPr>
          <w:rFonts w:asciiTheme="majorHAnsi" w:hAnsiTheme="majorHAnsi"/>
          <w:sz w:val="24"/>
          <w:szCs w:val="24"/>
        </w:rPr>
      </w:pPr>
    </w:p>
    <w:p w:rsidRPr="00AE33D7" w:rsidR="00A82511" w:rsidP="00A82511" w:rsidRDefault="00A82511">
      <w:pPr>
        <w:rPr>
          <w:rFonts w:asciiTheme="majorHAnsi" w:hAnsiTheme="majorHAnsi"/>
          <w:sz w:val="24"/>
          <w:szCs w:val="24"/>
        </w:rPr>
      </w:pPr>
      <w:r w:rsidRPr="00AE33D7">
        <w:rPr>
          <w:rFonts w:asciiTheme="majorHAnsi" w:hAnsiTheme="majorHAnsi"/>
          <w:b/>
          <w:bCs/>
          <w:sz w:val="24"/>
          <w:szCs w:val="24"/>
        </w:rPr>
        <w:t xml:space="preserve">5. Data base information </w:t>
      </w:r>
    </w:p>
    <w:p w:rsidRPr="00AE33D7" w:rsidR="00A82511" w:rsidP="00A82511" w:rsidRDefault="00A82511">
      <w:pPr>
        <w:rPr>
          <w:rFonts w:asciiTheme="majorHAnsi" w:hAnsiTheme="majorHAnsi"/>
          <w:sz w:val="24"/>
          <w:szCs w:val="24"/>
        </w:rPr>
      </w:pPr>
      <w:r w:rsidRPr="00AE33D7">
        <w:rPr>
          <w:rFonts w:asciiTheme="majorHAnsi" w:hAnsiTheme="majorHAnsi"/>
          <w:sz w:val="24"/>
          <w:szCs w:val="24"/>
        </w:rPr>
        <w:t>A</w:t>
      </w:r>
      <w:r w:rsidR="00A56FDE">
        <w:rPr>
          <w:rFonts w:asciiTheme="majorHAnsi" w:hAnsiTheme="majorHAnsi"/>
          <w:sz w:val="24"/>
          <w:szCs w:val="24"/>
        </w:rPr>
        <w:t xml:space="preserve"> </w:t>
      </w:r>
      <w:r w:rsidR="00182F18">
        <w:rPr>
          <w:rFonts w:asciiTheme="majorHAnsi" w:hAnsiTheme="majorHAnsi"/>
          <w:sz w:val="24"/>
          <w:szCs w:val="24"/>
        </w:rPr>
        <w:t>pseudo</w:t>
      </w:r>
      <w:r w:rsidRPr="00AE33D7" w:rsidR="00182F18">
        <w:rPr>
          <w:rFonts w:asciiTheme="majorHAnsi" w:hAnsiTheme="majorHAnsi"/>
          <w:sz w:val="24"/>
          <w:szCs w:val="24"/>
        </w:rPr>
        <w:t xml:space="preserve"> anony</w:t>
      </w:r>
      <w:r w:rsidR="00182F18">
        <w:rPr>
          <w:rFonts w:asciiTheme="majorHAnsi" w:hAnsiTheme="majorHAnsi"/>
          <w:sz w:val="24"/>
          <w:szCs w:val="24"/>
        </w:rPr>
        <w:t>mised</w:t>
      </w:r>
      <w:r w:rsidRPr="00AE33D7">
        <w:rPr>
          <w:rFonts w:asciiTheme="majorHAnsi" w:hAnsiTheme="majorHAnsi"/>
          <w:sz w:val="24"/>
          <w:szCs w:val="24"/>
        </w:rPr>
        <w:t xml:space="preserve"> database of patients enrolled in the SYNTAX trial is already available with baseline characteristics, procedural characteristics, and outcome data, which has been</w:t>
      </w:r>
      <w:r w:rsidR="00A56FDE">
        <w:rPr>
          <w:rFonts w:asciiTheme="majorHAnsi" w:hAnsiTheme="majorHAnsi"/>
          <w:sz w:val="24"/>
          <w:szCs w:val="24"/>
        </w:rPr>
        <w:t xml:space="preserve"> used for multiple publications. </w:t>
      </w:r>
      <w:r w:rsidRPr="00AE33D7">
        <w:rPr>
          <w:rFonts w:asciiTheme="majorHAnsi" w:hAnsiTheme="majorHAnsi"/>
          <w:sz w:val="24"/>
          <w:szCs w:val="24"/>
        </w:rPr>
        <w:t xml:space="preserve">All patients included in the database have been assigned a unique study number. Patient </w:t>
      </w:r>
      <w:r w:rsidR="007C18AB">
        <w:rPr>
          <w:rFonts w:asciiTheme="majorHAnsi" w:hAnsiTheme="majorHAnsi"/>
          <w:sz w:val="24"/>
          <w:szCs w:val="24"/>
        </w:rPr>
        <w:t>identifiable data relating to the unique study ID</w:t>
      </w:r>
      <w:r w:rsidRPr="00AE33D7">
        <w:rPr>
          <w:rFonts w:asciiTheme="majorHAnsi" w:hAnsiTheme="majorHAnsi"/>
          <w:sz w:val="24"/>
          <w:szCs w:val="24"/>
        </w:rPr>
        <w:t xml:space="preserve"> is only available at individual sites. Local investigators </w:t>
      </w:r>
      <w:r w:rsidR="00C13C5C">
        <w:rPr>
          <w:rFonts w:asciiTheme="majorHAnsi" w:hAnsiTheme="majorHAnsi"/>
          <w:sz w:val="24"/>
          <w:szCs w:val="24"/>
        </w:rPr>
        <w:t xml:space="preserve">from the English sites </w:t>
      </w:r>
      <w:r w:rsidRPr="00AE33D7">
        <w:rPr>
          <w:rFonts w:asciiTheme="majorHAnsi" w:hAnsiTheme="majorHAnsi"/>
          <w:sz w:val="24"/>
          <w:szCs w:val="24"/>
        </w:rPr>
        <w:t>will send NHS pati</w:t>
      </w:r>
      <w:r w:rsidR="007C18AB">
        <w:rPr>
          <w:rFonts w:asciiTheme="majorHAnsi" w:hAnsiTheme="majorHAnsi"/>
          <w:sz w:val="24"/>
          <w:szCs w:val="24"/>
        </w:rPr>
        <w:t>ent data</w:t>
      </w:r>
      <w:r w:rsidR="009162D3">
        <w:rPr>
          <w:rFonts w:asciiTheme="majorHAnsi" w:hAnsiTheme="majorHAnsi"/>
          <w:sz w:val="24"/>
          <w:szCs w:val="24"/>
        </w:rPr>
        <w:t xml:space="preserve"> identifiable by </w:t>
      </w:r>
      <w:r w:rsidRPr="00AE33D7" w:rsidR="009162D3">
        <w:rPr>
          <w:rFonts w:asciiTheme="majorHAnsi" w:hAnsiTheme="majorHAnsi"/>
          <w:sz w:val="24"/>
          <w:szCs w:val="24"/>
        </w:rPr>
        <w:t>unique</w:t>
      </w:r>
      <w:r w:rsidRPr="00AE33D7">
        <w:rPr>
          <w:rFonts w:asciiTheme="majorHAnsi" w:hAnsiTheme="majorHAnsi"/>
          <w:sz w:val="24"/>
          <w:szCs w:val="24"/>
        </w:rPr>
        <w:t xml:space="preserve"> study number</w:t>
      </w:r>
      <w:r w:rsidR="00820339">
        <w:rPr>
          <w:rFonts w:asciiTheme="majorHAnsi" w:hAnsiTheme="majorHAnsi"/>
          <w:sz w:val="24"/>
          <w:szCs w:val="24"/>
        </w:rPr>
        <w:t xml:space="preserve"> </w:t>
      </w:r>
      <w:r w:rsidR="007C18AB">
        <w:rPr>
          <w:rFonts w:asciiTheme="majorHAnsi" w:hAnsiTheme="majorHAnsi"/>
          <w:sz w:val="24"/>
          <w:szCs w:val="24"/>
        </w:rPr>
        <w:t>and NHS number</w:t>
      </w:r>
      <w:r w:rsidRPr="00AE33D7">
        <w:rPr>
          <w:rFonts w:asciiTheme="majorHAnsi" w:hAnsiTheme="majorHAnsi"/>
          <w:sz w:val="24"/>
          <w:szCs w:val="24"/>
        </w:rPr>
        <w:t xml:space="preserve"> to the </w:t>
      </w:r>
      <w:r w:rsidR="007C18AB">
        <w:rPr>
          <w:rFonts w:asciiTheme="majorHAnsi" w:hAnsiTheme="majorHAnsi"/>
          <w:sz w:val="24"/>
          <w:szCs w:val="24"/>
        </w:rPr>
        <w:t xml:space="preserve">Principal Investigator’s </w:t>
      </w:r>
      <w:r w:rsidR="00011CF9">
        <w:rPr>
          <w:rFonts w:asciiTheme="majorHAnsi" w:hAnsiTheme="majorHAnsi"/>
          <w:sz w:val="24"/>
          <w:szCs w:val="24"/>
        </w:rPr>
        <w:t xml:space="preserve">site in Southampton (UHS).  UHS will request from NHS Digital the </w:t>
      </w:r>
      <w:r w:rsidRPr="00AE33D7">
        <w:rPr>
          <w:rFonts w:asciiTheme="majorHAnsi" w:hAnsiTheme="majorHAnsi"/>
          <w:sz w:val="24"/>
          <w:szCs w:val="24"/>
        </w:rPr>
        <w:t>survival data of each individual SYNTAXES patient</w:t>
      </w:r>
      <w:r w:rsidR="00A56FDE">
        <w:rPr>
          <w:rFonts w:asciiTheme="majorHAnsi" w:hAnsiTheme="majorHAnsi"/>
          <w:sz w:val="24"/>
          <w:szCs w:val="24"/>
        </w:rPr>
        <w:t>s</w:t>
      </w:r>
      <w:r w:rsidRPr="00AE33D7">
        <w:rPr>
          <w:rFonts w:asciiTheme="majorHAnsi" w:hAnsiTheme="majorHAnsi"/>
          <w:sz w:val="24"/>
          <w:szCs w:val="24"/>
        </w:rPr>
        <w:t xml:space="preserve">. </w:t>
      </w:r>
    </w:p>
    <w:p w:rsidR="00972E27" w:rsidP="00380FC6" w:rsidRDefault="009162D3">
      <w:pPr>
        <w:rPr>
          <w:rFonts w:asciiTheme="majorHAnsi" w:hAnsiTheme="majorHAnsi"/>
          <w:sz w:val="24"/>
          <w:szCs w:val="24"/>
        </w:rPr>
      </w:pPr>
      <w:r>
        <w:rPr>
          <w:rFonts w:asciiTheme="majorHAnsi" w:hAnsiTheme="majorHAnsi"/>
          <w:sz w:val="24"/>
          <w:szCs w:val="24"/>
        </w:rPr>
        <w:t xml:space="preserve">A central database of all 1800 SYNTAXES patients </w:t>
      </w:r>
      <w:r w:rsidRPr="00AE33D7" w:rsidR="00A82511">
        <w:rPr>
          <w:rFonts w:asciiTheme="majorHAnsi" w:hAnsiTheme="majorHAnsi"/>
          <w:sz w:val="24"/>
          <w:szCs w:val="24"/>
        </w:rPr>
        <w:t>will be stored at the Department of Cardiothoracic Surgery in Rotterdam, The Netherlands. This database in comparison to the already existing database will be edited only by changing the duration of follow-up, date of death if this occurred, and the cause of death</w:t>
      </w:r>
      <w:r w:rsidR="00CA10A1">
        <w:rPr>
          <w:rFonts w:asciiTheme="majorHAnsi" w:hAnsiTheme="majorHAnsi"/>
          <w:sz w:val="24"/>
          <w:szCs w:val="24"/>
        </w:rPr>
        <w:t xml:space="preserve"> where available</w:t>
      </w:r>
      <w:r w:rsidRPr="00AE33D7" w:rsidR="00A82511">
        <w:rPr>
          <w:rFonts w:asciiTheme="majorHAnsi" w:hAnsiTheme="majorHAnsi"/>
          <w:sz w:val="24"/>
          <w:szCs w:val="24"/>
        </w:rPr>
        <w:t>. The remainder of the database will not be changed.</w:t>
      </w:r>
    </w:p>
    <w:p w:rsidR="00972E27" w:rsidP="00380FC6" w:rsidRDefault="00972E27">
      <w:pPr>
        <w:rPr>
          <w:rFonts w:asciiTheme="majorHAnsi" w:hAnsiTheme="majorHAnsi"/>
          <w:sz w:val="24"/>
          <w:szCs w:val="24"/>
        </w:rPr>
      </w:pPr>
    </w:p>
    <w:p w:rsidRPr="00AE33D7" w:rsidR="00380FC6" w:rsidP="00380FC6" w:rsidRDefault="00380FC6">
      <w:pPr>
        <w:rPr>
          <w:rFonts w:asciiTheme="majorHAnsi" w:hAnsiTheme="majorHAnsi"/>
          <w:sz w:val="24"/>
          <w:szCs w:val="24"/>
        </w:rPr>
      </w:pPr>
      <w:r w:rsidRPr="00AE33D7">
        <w:rPr>
          <w:rFonts w:asciiTheme="majorHAnsi" w:hAnsiTheme="majorHAnsi"/>
          <w:b/>
          <w:bCs/>
          <w:sz w:val="24"/>
          <w:szCs w:val="24"/>
        </w:rPr>
        <w:t>6. Secure storage and processing of patient information</w:t>
      </w:r>
    </w:p>
    <w:p w:rsidRPr="00AE33D7" w:rsidR="00380FC6" w:rsidP="00380FC6" w:rsidRDefault="00380FC6">
      <w:pPr>
        <w:rPr>
          <w:rFonts w:asciiTheme="majorHAnsi" w:hAnsiTheme="majorHAnsi"/>
          <w:sz w:val="24"/>
          <w:szCs w:val="24"/>
        </w:rPr>
      </w:pPr>
      <w:r w:rsidRPr="00AE33D7">
        <w:rPr>
          <w:rFonts w:asciiTheme="majorHAnsi" w:hAnsiTheme="majorHAnsi"/>
          <w:sz w:val="24"/>
          <w:szCs w:val="24"/>
        </w:rPr>
        <w:t>This study has already received research ethics approval – a process des</w:t>
      </w:r>
      <w:r w:rsidR="009162D3">
        <w:rPr>
          <w:rFonts w:asciiTheme="majorHAnsi" w:hAnsiTheme="majorHAnsi"/>
          <w:sz w:val="24"/>
          <w:szCs w:val="24"/>
        </w:rPr>
        <w:t xml:space="preserve">igned to make sure researchers </w:t>
      </w:r>
      <w:r w:rsidRPr="00AE33D7">
        <w:rPr>
          <w:rFonts w:asciiTheme="majorHAnsi" w:hAnsiTheme="majorHAnsi"/>
          <w:sz w:val="24"/>
          <w:szCs w:val="24"/>
        </w:rPr>
        <w:t xml:space="preserve">can benefit from accessing data while minimizing risk of any harm to patients - and Health Research Authority Confidential Advisory Group Section 2.51 approvals. The legal </w:t>
      </w:r>
      <w:r w:rsidRPr="00AE33D7" w:rsidR="009162D3">
        <w:rPr>
          <w:rFonts w:asciiTheme="majorHAnsi" w:hAnsiTheme="majorHAnsi"/>
          <w:sz w:val="24"/>
          <w:szCs w:val="24"/>
        </w:rPr>
        <w:t xml:space="preserve">basis for processing </w:t>
      </w:r>
      <w:r w:rsidR="00CA10A1">
        <w:rPr>
          <w:rFonts w:asciiTheme="majorHAnsi" w:hAnsiTheme="majorHAnsi"/>
          <w:sz w:val="24"/>
          <w:szCs w:val="24"/>
        </w:rPr>
        <w:t xml:space="preserve">the data </w:t>
      </w:r>
      <w:r w:rsidRPr="00AE33D7" w:rsidR="009162D3">
        <w:rPr>
          <w:rFonts w:asciiTheme="majorHAnsi" w:hAnsiTheme="majorHAnsi"/>
          <w:sz w:val="24"/>
          <w:szCs w:val="24"/>
        </w:rPr>
        <w:t>is</w:t>
      </w:r>
      <w:r w:rsidRPr="00AE33D7">
        <w:rPr>
          <w:rFonts w:asciiTheme="majorHAnsi" w:hAnsiTheme="majorHAnsi"/>
          <w:sz w:val="24"/>
          <w:szCs w:val="24"/>
        </w:rPr>
        <w:t xml:space="preserve"> covered under</w:t>
      </w:r>
      <w:r w:rsidRPr="00A56FDE" w:rsidR="00A56FDE">
        <w:rPr>
          <w:rFonts w:asciiTheme="majorHAnsi" w:hAnsiTheme="majorHAnsi"/>
          <w:sz w:val="24"/>
          <w:szCs w:val="24"/>
        </w:rPr>
        <w:t xml:space="preserve"> </w:t>
      </w:r>
      <w:r w:rsidRPr="00AE33D7" w:rsidR="00A56FDE">
        <w:rPr>
          <w:rFonts w:asciiTheme="majorHAnsi" w:hAnsiTheme="majorHAnsi"/>
          <w:sz w:val="24"/>
          <w:szCs w:val="24"/>
        </w:rPr>
        <w:t>General Data Protection Regulation</w:t>
      </w:r>
      <w:r w:rsidR="00A56FDE">
        <w:rPr>
          <w:rFonts w:asciiTheme="majorHAnsi" w:hAnsiTheme="majorHAnsi"/>
          <w:sz w:val="24"/>
          <w:szCs w:val="24"/>
        </w:rPr>
        <w:t xml:space="preserve">s (GDPR), </w:t>
      </w:r>
      <w:r w:rsidRPr="00AE33D7">
        <w:rPr>
          <w:rFonts w:asciiTheme="majorHAnsi" w:hAnsiTheme="majorHAnsi"/>
          <w:sz w:val="24"/>
          <w:szCs w:val="24"/>
        </w:rPr>
        <w:t>Article 6 (1) (e) and Article 9 (2) (j).</w:t>
      </w:r>
    </w:p>
    <w:p w:rsidRPr="001B4A24" w:rsidR="00380FC6" w:rsidP="001B4A24" w:rsidRDefault="009162D3">
      <w:pPr>
        <w:rPr>
          <w:rFonts w:asciiTheme="majorHAnsi" w:hAnsiTheme="majorHAnsi"/>
          <w:sz w:val="24"/>
          <w:szCs w:val="24"/>
        </w:rPr>
      </w:pPr>
      <w:r>
        <w:rPr>
          <w:rFonts w:asciiTheme="majorHAnsi" w:hAnsiTheme="majorHAnsi"/>
          <w:sz w:val="24"/>
          <w:szCs w:val="24"/>
        </w:rPr>
        <w:t>Personal data of patients (</w:t>
      </w:r>
      <w:r w:rsidRPr="00AE33D7" w:rsidR="00380FC6">
        <w:rPr>
          <w:rFonts w:asciiTheme="majorHAnsi" w:hAnsiTheme="majorHAnsi"/>
          <w:sz w:val="24"/>
          <w:szCs w:val="24"/>
        </w:rPr>
        <w:t>NHS num</w:t>
      </w:r>
      <w:r>
        <w:rPr>
          <w:rFonts w:asciiTheme="majorHAnsi" w:hAnsiTheme="majorHAnsi"/>
          <w:sz w:val="24"/>
          <w:szCs w:val="24"/>
        </w:rPr>
        <w:t xml:space="preserve">ber, date of birth, sex, and </w:t>
      </w:r>
      <w:r w:rsidRPr="00AE33D7">
        <w:rPr>
          <w:rFonts w:asciiTheme="majorHAnsi" w:hAnsiTheme="majorHAnsi"/>
          <w:sz w:val="24"/>
          <w:szCs w:val="24"/>
        </w:rPr>
        <w:t>unique</w:t>
      </w:r>
      <w:r>
        <w:rPr>
          <w:rFonts w:asciiTheme="majorHAnsi" w:hAnsiTheme="majorHAnsi"/>
          <w:sz w:val="24"/>
          <w:szCs w:val="24"/>
        </w:rPr>
        <w:t xml:space="preserve"> study ID) </w:t>
      </w:r>
      <w:r w:rsidRPr="00AE33D7" w:rsidR="00380FC6">
        <w:rPr>
          <w:rFonts w:asciiTheme="majorHAnsi" w:hAnsiTheme="majorHAnsi"/>
          <w:sz w:val="24"/>
          <w:szCs w:val="24"/>
        </w:rPr>
        <w:t xml:space="preserve">will be securely transferred between </w:t>
      </w:r>
      <w:r w:rsidR="00CA10A1">
        <w:rPr>
          <w:rFonts w:asciiTheme="majorHAnsi" w:hAnsiTheme="majorHAnsi"/>
          <w:sz w:val="24"/>
          <w:szCs w:val="24"/>
        </w:rPr>
        <w:t xml:space="preserve">individual Trusts and University Hospital Southampton NHS FT and then forwarded by </w:t>
      </w:r>
      <w:r w:rsidR="00182F18">
        <w:rPr>
          <w:rFonts w:asciiTheme="majorHAnsi" w:hAnsiTheme="majorHAnsi"/>
          <w:sz w:val="24"/>
          <w:szCs w:val="24"/>
        </w:rPr>
        <w:t>Southampton,</w:t>
      </w:r>
      <w:r>
        <w:rPr>
          <w:rFonts w:asciiTheme="majorHAnsi" w:hAnsiTheme="majorHAnsi"/>
          <w:bCs/>
          <w:sz w:val="24"/>
          <w:szCs w:val="24"/>
        </w:rPr>
        <w:t xml:space="preserve"> </w:t>
      </w:r>
      <w:r w:rsidRPr="00AE33D7" w:rsidR="00380FC6">
        <w:rPr>
          <w:rFonts w:asciiTheme="majorHAnsi" w:hAnsiTheme="majorHAnsi"/>
          <w:sz w:val="24"/>
          <w:szCs w:val="24"/>
        </w:rPr>
        <w:t>who process the sur</w:t>
      </w:r>
      <w:r>
        <w:rPr>
          <w:rFonts w:asciiTheme="majorHAnsi" w:hAnsiTheme="majorHAnsi"/>
          <w:sz w:val="24"/>
          <w:szCs w:val="24"/>
        </w:rPr>
        <w:t xml:space="preserve">vival data, </w:t>
      </w:r>
      <w:r w:rsidR="00182F18">
        <w:rPr>
          <w:rFonts w:asciiTheme="majorHAnsi" w:hAnsiTheme="majorHAnsi"/>
          <w:sz w:val="24"/>
          <w:szCs w:val="24"/>
        </w:rPr>
        <w:t xml:space="preserve">to </w:t>
      </w:r>
      <w:r w:rsidRPr="00AE33D7" w:rsidR="00182F18">
        <w:rPr>
          <w:rFonts w:asciiTheme="majorHAnsi" w:hAnsiTheme="majorHAnsi"/>
          <w:sz w:val="24"/>
          <w:szCs w:val="24"/>
        </w:rPr>
        <w:t>NHS</w:t>
      </w:r>
      <w:r w:rsidRPr="00AE33D7" w:rsidR="00380FC6">
        <w:rPr>
          <w:rFonts w:asciiTheme="majorHAnsi" w:hAnsiTheme="majorHAnsi"/>
          <w:sz w:val="24"/>
          <w:szCs w:val="24"/>
        </w:rPr>
        <w:t xml:space="preserve"> Digital</w:t>
      </w:r>
      <w:r>
        <w:rPr>
          <w:rFonts w:asciiTheme="majorHAnsi" w:hAnsiTheme="majorHAnsi"/>
          <w:sz w:val="24"/>
          <w:szCs w:val="24"/>
        </w:rPr>
        <w:t xml:space="preserve">, who control </w:t>
      </w:r>
      <w:r w:rsidRPr="00850F02" w:rsidR="00850F02">
        <w:rPr>
          <w:rFonts w:asciiTheme="majorHAnsi" w:hAnsiTheme="majorHAnsi"/>
          <w:sz w:val="24"/>
          <w:szCs w:val="24"/>
        </w:rPr>
        <w:t>the Civil Registration Mortality (survival) data</w:t>
      </w:r>
      <w:r w:rsidRPr="00AE33D7" w:rsidR="00380FC6">
        <w:rPr>
          <w:rFonts w:asciiTheme="majorHAnsi" w:hAnsiTheme="majorHAnsi"/>
          <w:sz w:val="24"/>
          <w:szCs w:val="24"/>
        </w:rPr>
        <w:t>. This is considered to be personal data according to E</w:t>
      </w:r>
      <w:r>
        <w:rPr>
          <w:rFonts w:asciiTheme="majorHAnsi" w:hAnsiTheme="majorHAnsi"/>
          <w:sz w:val="24"/>
          <w:szCs w:val="24"/>
        </w:rPr>
        <w:t xml:space="preserve">uropean data protection rules, </w:t>
      </w:r>
      <w:r w:rsidRPr="00AE33D7" w:rsidR="00380FC6">
        <w:rPr>
          <w:rFonts w:asciiTheme="majorHAnsi" w:hAnsiTheme="majorHAnsi"/>
          <w:sz w:val="24"/>
          <w:szCs w:val="24"/>
        </w:rPr>
        <w:t xml:space="preserve">GDPR. As </w:t>
      </w:r>
      <w:r w:rsidR="00CA10A1">
        <w:rPr>
          <w:rFonts w:asciiTheme="majorHAnsi" w:hAnsiTheme="majorHAnsi"/>
          <w:sz w:val="24"/>
          <w:szCs w:val="24"/>
        </w:rPr>
        <w:t xml:space="preserve">Southampton and NHS Digital </w:t>
      </w:r>
      <w:r w:rsidRPr="00AE33D7" w:rsidR="00380FC6">
        <w:rPr>
          <w:rFonts w:asciiTheme="majorHAnsi" w:hAnsiTheme="majorHAnsi"/>
          <w:sz w:val="24"/>
          <w:szCs w:val="24"/>
        </w:rPr>
        <w:t xml:space="preserve">hold the data, and are involved in processing, they are called data processors. </w:t>
      </w:r>
      <w:r w:rsidR="001B4A24">
        <w:rPr>
          <w:rFonts w:asciiTheme="majorHAnsi" w:hAnsiTheme="majorHAnsi"/>
          <w:sz w:val="24"/>
          <w:szCs w:val="24"/>
        </w:rPr>
        <w:t xml:space="preserve">The sponsor of the study, the Erasmus University Medical Centre, is called the data controller. </w:t>
      </w:r>
      <w:r w:rsidRPr="00AE33D7" w:rsidR="00380FC6">
        <w:rPr>
          <w:rFonts w:asciiTheme="majorHAnsi" w:hAnsiTheme="majorHAnsi"/>
          <w:sz w:val="24"/>
          <w:szCs w:val="24"/>
        </w:rPr>
        <w:t xml:space="preserve">The purpose of sending this personal data between the </w:t>
      </w:r>
      <w:r w:rsidR="001B4A24">
        <w:rPr>
          <w:rFonts w:asciiTheme="majorHAnsi" w:hAnsiTheme="majorHAnsi"/>
          <w:sz w:val="24"/>
          <w:szCs w:val="24"/>
        </w:rPr>
        <w:t>UHS</w:t>
      </w:r>
      <w:r w:rsidRPr="00AE33D7" w:rsidR="00380FC6">
        <w:rPr>
          <w:rFonts w:asciiTheme="majorHAnsi" w:hAnsiTheme="majorHAnsi"/>
          <w:sz w:val="24"/>
          <w:szCs w:val="24"/>
        </w:rPr>
        <w:t xml:space="preserve"> </w:t>
      </w:r>
      <w:r w:rsidR="001B4A24">
        <w:rPr>
          <w:rFonts w:asciiTheme="majorHAnsi" w:hAnsiTheme="majorHAnsi"/>
          <w:sz w:val="24"/>
          <w:szCs w:val="24"/>
        </w:rPr>
        <w:t xml:space="preserve">organization and NHS Digital </w:t>
      </w:r>
      <w:r w:rsidRPr="00AE33D7" w:rsidR="00380FC6">
        <w:rPr>
          <w:rFonts w:asciiTheme="majorHAnsi" w:hAnsiTheme="majorHAnsi"/>
          <w:sz w:val="24"/>
          <w:szCs w:val="24"/>
        </w:rPr>
        <w:t xml:space="preserve">is so NHS Digital can link these data together for the same patients, to provide more accurate and complete information for researchers who can track a patient’s journey through the NHS system. However, </w:t>
      </w:r>
      <w:r w:rsidR="00571133">
        <w:rPr>
          <w:rFonts w:asciiTheme="majorHAnsi" w:hAnsiTheme="majorHAnsi"/>
          <w:sz w:val="24"/>
          <w:szCs w:val="24"/>
        </w:rPr>
        <w:t>the Sponsor</w:t>
      </w:r>
      <w:r w:rsidRPr="00AE33D7" w:rsidR="00571133">
        <w:rPr>
          <w:rFonts w:asciiTheme="majorHAnsi" w:hAnsiTheme="majorHAnsi"/>
          <w:sz w:val="24"/>
          <w:szCs w:val="24"/>
        </w:rPr>
        <w:t xml:space="preserve"> </w:t>
      </w:r>
      <w:r w:rsidRPr="00AE33D7" w:rsidR="00380FC6">
        <w:rPr>
          <w:rFonts w:asciiTheme="majorHAnsi" w:hAnsiTheme="majorHAnsi"/>
          <w:sz w:val="24"/>
          <w:szCs w:val="24"/>
        </w:rPr>
        <w:t>will not have access to any personal identifiable data, and will no</w:t>
      </w:r>
      <w:r>
        <w:rPr>
          <w:rFonts w:asciiTheme="majorHAnsi" w:hAnsiTheme="majorHAnsi"/>
          <w:sz w:val="24"/>
          <w:szCs w:val="24"/>
        </w:rPr>
        <w:t xml:space="preserve">t be able to identify patients </w:t>
      </w:r>
      <w:r w:rsidRPr="00AE33D7" w:rsidR="00380FC6">
        <w:rPr>
          <w:rFonts w:asciiTheme="majorHAnsi" w:hAnsiTheme="majorHAnsi"/>
          <w:sz w:val="24"/>
          <w:szCs w:val="24"/>
        </w:rPr>
        <w:t xml:space="preserve">using the information that they are given by </w:t>
      </w:r>
      <w:r w:rsidRPr="00AE33D7" w:rsidR="00AE33D7">
        <w:rPr>
          <w:rFonts w:asciiTheme="majorHAnsi" w:hAnsiTheme="majorHAnsi"/>
          <w:bCs/>
          <w:sz w:val="24"/>
          <w:szCs w:val="24"/>
        </w:rPr>
        <w:t xml:space="preserve">University Hospital Southampton NHS FT </w:t>
      </w:r>
    </w:p>
    <w:p w:rsidRPr="00AE33D7" w:rsidR="00380FC6" w:rsidP="00380FC6" w:rsidRDefault="00182F18">
      <w:pPr>
        <w:rPr>
          <w:rFonts w:asciiTheme="majorHAnsi" w:hAnsiTheme="majorHAnsi"/>
          <w:sz w:val="24"/>
          <w:szCs w:val="24"/>
        </w:rPr>
      </w:pPr>
      <w:r>
        <w:rPr>
          <w:rFonts w:asciiTheme="majorHAnsi" w:hAnsiTheme="majorHAnsi"/>
          <w:sz w:val="24"/>
          <w:szCs w:val="24"/>
        </w:rPr>
        <w:lastRenderedPageBreak/>
        <w:t xml:space="preserve">NHS Digital </w:t>
      </w:r>
      <w:r w:rsidRPr="00AE33D7">
        <w:rPr>
          <w:rFonts w:asciiTheme="majorHAnsi" w:hAnsiTheme="majorHAnsi"/>
          <w:sz w:val="24"/>
          <w:szCs w:val="24"/>
        </w:rPr>
        <w:t>will securely transfer pseudo</w:t>
      </w:r>
      <w:r>
        <w:rPr>
          <w:rFonts w:asciiTheme="majorHAnsi" w:hAnsiTheme="majorHAnsi"/>
          <w:sz w:val="24"/>
          <w:szCs w:val="24"/>
        </w:rPr>
        <w:t xml:space="preserve"> </w:t>
      </w:r>
      <w:r w:rsidRPr="00AE33D7">
        <w:rPr>
          <w:rFonts w:asciiTheme="majorHAnsi" w:hAnsiTheme="majorHAnsi"/>
          <w:sz w:val="24"/>
          <w:szCs w:val="24"/>
        </w:rPr>
        <w:t xml:space="preserve">anonymised data to researchers at </w:t>
      </w:r>
      <w:r w:rsidRPr="00AE33D7">
        <w:rPr>
          <w:rFonts w:asciiTheme="majorHAnsi" w:hAnsiTheme="majorHAnsi"/>
          <w:bCs/>
          <w:sz w:val="24"/>
          <w:szCs w:val="24"/>
        </w:rPr>
        <w:t>University Hospital Southampton NHS FT</w:t>
      </w:r>
      <w:r w:rsidRPr="00AE33D7">
        <w:rPr>
          <w:rFonts w:asciiTheme="majorHAnsi" w:hAnsiTheme="majorHAnsi"/>
          <w:sz w:val="24"/>
          <w:szCs w:val="24"/>
        </w:rPr>
        <w:t>. Pseudo</w:t>
      </w:r>
      <w:r>
        <w:rPr>
          <w:rFonts w:asciiTheme="majorHAnsi" w:hAnsiTheme="majorHAnsi"/>
          <w:sz w:val="24"/>
          <w:szCs w:val="24"/>
        </w:rPr>
        <w:t xml:space="preserve"> </w:t>
      </w:r>
      <w:r w:rsidRPr="00AE33D7">
        <w:rPr>
          <w:rFonts w:asciiTheme="majorHAnsi" w:hAnsiTheme="majorHAnsi"/>
          <w:sz w:val="24"/>
          <w:szCs w:val="24"/>
        </w:rPr>
        <w:t>ano</w:t>
      </w:r>
      <w:r>
        <w:rPr>
          <w:rFonts w:asciiTheme="majorHAnsi" w:hAnsiTheme="majorHAnsi"/>
          <w:sz w:val="24"/>
          <w:szCs w:val="24"/>
        </w:rPr>
        <w:t>n</w:t>
      </w:r>
      <w:r w:rsidRPr="00AE33D7">
        <w:rPr>
          <w:rFonts w:asciiTheme="majorHAnsi" w:hAnsiTheme="majorHAnsi"/>
          <w:sz w:val="24"/>
          <w:szCs w:val="24"/>
        </w:rPr>
        <w:t>ymised means th</w:t>
      </w:r>
      <w:r>
        <w:rPr>
          <w:rFonts w:asciiTheme="majorHAnsi" w:hAnsiTheme="majorHAnsi"/>
          <w:sz w:val="24"/>
          <w:szCs w:val="24"/>
        </w:rPr>
        <w:t>at</w:t>
      </w:r>
      <w:r w:rsidRPr="00AE33D7">
        <w:rPr>
          <w:rFonts w:asciiTheme="majorHAnsi" w:hAnsiTheme="majorHAnsi"/>
          <w:sz w:val="24"/>
          <w:szCs w:val="24"/>
        </w:rPr>
        <w:t xml:space="preserve"> most identifying fields within a database are replaced with artificial identifiers, or pseudonyms so patient information can be processed without researchers being able to identify patients. </w:t>
      </w:r>
      <w:r w:rsidR="00A56FDE">
        <w:rPr>
          <w:rFonts w:asciiTheme="majorHAnsi" w:hAnsiTheme="majorHAnsi"/>
          <w:sz w:val="24"/>
          <w:szCs w:val="24"/>
        </w:rPr>
        <w:t xml:space="preserve">Finally, all </w:t>
      </w:r>
      <w:r>
        <w:rPr>
          <w:rFonts w:asciiTheme="majorHAnsi" w:hAnsiTheme="majorHAnsi"/>
          <w:sz w:val="24"/>
          <w:szCs w:val="24"/>
        </w:rPr>
        <w:t>pseudo anonymis</w:t>
      </w:r>
      <w:r w:rsidRPr="00AE33D7">
        <w:rPr>
          <w:rFonts w:asciiTheme="majorHAnsi" w:hAnsiTheme="majorHAnsi"/>
          <w:sz w:val="24"/>
          <w:szCs w:val="24"/>
        </w:rPr>
        <w:t>ed</w:t>
      </w:r>
      <w:r w:rsidRPr="00AE33D7" w:rsidR="00AE33D7">
        <w:rPr>
          <w:rFonts w:asciiTheme="majorHAnsi" w:hAnsiTheme="majorHAnsi"/>
          <w:sz w:val="24"/>
          <w:szCs w:val="24"/>
        </w:rPr>
        <w:t xml:space="preserve"> data will be securely transferred from </w:t>
      </w:r>
      <w:r w:rsidRPr="00AE33D7" w:rsidR="00AE33D7">
        <w:rPr>
          <w:rFonts w:asciiTheme="majorHAnsi" w:hAnsiTheme="majorHAnsi"/>
          <w:bCs/>
          <w:sz w:val="24"/>
          <w:szCs w:val="24"/>
        </w:rPr>
        <w:t>University Hospital Southampton NHS FT</w:t>
      </w:r>
      <w:r w:rsidR="00011CF9">
        <w:rPr>
          <w:rFonts w:asciiTheme="majorHAnsi" w:hAnsiTheme="majorHAnsi"/>
          <w:sz w:val="24"/>
          <w:szCs w:val="24"/>
        </w:rPr>
        <w:t xml:space="preserve"> </w:t>
      </w:r>
      <w:r w:rsidRPr="00AE33D7" w:rsidR="00AE33D7">
        <w:rPr>
          <w:rFonts w:asciiTheme="majorHAnsi" w:hAnsiTheme="majorHAnsi"/>
          <w:sz w:val="24"/>
          <w:szCs w:val="24"/>
        </w:rPr>
        <w:t xml:space="preserve">to the Cardiothoracic Surgery department of the Erasmus Universtity Medical Centre, in The Netherlands. </w:t>
      </w:r>
      <w:r w:rsidRPr="00AE33D7" w:rsidR="00380FC6">
        <w:rPr>
          <w:rFonts w:asciiTheme="majorHAnsi" w:hAnsiTheme="majorHAnsi"/>
          <w:sz w:val="24"/>
          <w:szCs w:val="24"/>
        </w:rPr>
        <w:t>All patient information will be stored on a secure network that is password-protected, and can only be accessed by those with specialised training and access for the duration of the study.</w:t>
      </w:r>
    </w:p>
    <w:p w:rsidR="00972E27" w:rsidP="00972E27" w:rsidRDefault="00380FC6">
      <w:pPr>
        <w:rPr>
          <w:rFonts w:asciiTheme="majorHAnsi" w:hAnsiTheme="majorHAnsi"/>
          <w:sz w:val="24"/>
          <w:szCs w:val="24"/>
        </w:rPr>
      </w:pPr>
      <w:r w:rsidRPr="00AE33D7">
        <w:rPr>
          <w:rFonts w:asciiTheme="majorHAnsi" w:hAnsiTheme="majorHAnsi"/>
          <w:sz w:val="24"/>
          <w:szCs w:val="24"/>
        </w:rPr>
        <w:t xml:space="preserve">The data will be stored by researchers at </w:t>
      </w:r>
      <w:r w:rsidRPr="00AE33D7" w:rsidR="00AE33D7">
        <w:rPr>
          <w:rFonts w:asciiTheme="majorHAnsi" w:hAnsiTheme="majorHAnsi"/>
          <w:sz w:val="24"/>
          <w:szCs w:val="24"/>
        </w:rPr>
        <w:t xml:space="preserve">Cardiothoracic Surgery department of the Erasmus Universtity Medical Centre </w:t>
      </w:r>
      <w:r w:rsidRPr="00AE33D7">
        <w:rPr>
          <w:rFonts w:asciiTheme="majorHAnsi" w:hAnsiTheme="majorHAnsi"/>
          <w:sz w:val="24"/>
          <w:szCs w:val="24"/>
        </w:rPr>
        <w:t xml:space="preserve">until </w:t>
      </w:r>
      <w:r w:rsidRPr="00AE33D7" w:rsidR="00AE33D7">
        <w:rPr>
          <w:rFonts w:asciiTheme="majorHAnsi" w:hAnsiTheme="majorHAnsi"/>
          <w:sz w:val="24"/>
          <w:szCs w:val="24"/>
        </w:rPr>
        <w:t>2020</w:t>
      </w:r>
      <w:r w:rsidRPr="00AE33D7">
        <w:rPr>
          <w:rFonts w:asciiTheme="majorHAnsi" w:hAnsiTheme="majorHAnsi"/>
          <w:sz w:val="24"/>
          <w:szCs w:val="24"/>
        </w:rPr>
        <w:t xml:space="preserve"> for analysis and dissemination purposes</w:t>
      </w:r>
      <w:r w:rsidRPr="00AE33D7" w:rsidR="00AE33D7">
        <w:rPr>
          <w:rFonts w:asciiTheme="majorHAnsi" w:hAnsiTheme="majorHAnsi"/>
          <w:sz w:val="24"/>
          <w:szCs w:val="24"/>
        </w:rPr>
        <w:t xml:space="preserve">. </w:t>
      </w:r>
      <w:r w:rsidR="00820339">
        <w:rPr>
          <w:rFonts w:asciiTheme="majorHAnsi" w:hAnsiTheme="majorHAnsi"/>
          <w:sz w:val="24"/>
          <w:szCs w:val="24"/>
        </w:rPr>
        <w:t xml:space="preserve">All data will be published anonymously in peer-reviewed medical journals and/or at (inter)national medical conferences. </w:t>
      </w:r>
      <w:r w:rsidRPr="00AE33D7" w:rsidR="00AE33D7">
        <w:rPr>
          <w:rFonts w:asciiTheme="majorHAnsi" w:hAnsiTheme="majorHAnsi"/>
          <w:sz w:val="24"/>
          <w:szCs w:val="24"/>
        </w:rPr>
        <w:t xml:space="preserve">After that the data is stored, by law and regulations of the Dutch Healthcare system, until 2035, </w:t>
      </w:r>
      <w:r w:rsidRPr="00AE33D7" w:rsidR="002E5A9D">
        <w:rPr>
          <w:rFonts w:asciiTheme="majorHAnsi" w:hAnsiTheme="majorHAnsi"/>
          <w:sz w:val="24"/>
          <w:szCs w:val="24"/>
        </w:rPr>
        <w:t>after which</w:t>
      </w:r>
      <w:r w:rsidRPr="00AE33D7" w:rsidR="00AE33D7">
        <w:rPr>
          <w:rFonts w:asciiTheme="majorHAnsi" w:hAnsiTheme="majorHAnsi"/>
          <w:sz w:val="24"/>
          <w:szCs w:val="24"/>
        </w:rPr>
        <w:t xml:space="preserve"> the data will be securely destroyed.</w:t>
      </w:r>
    </w:p>
    <w:p w:rsidR="00972E27" w:rsidP="00972E27" w:rsidRDefault="00972E27">
      <w:pPr>
        <w:rPr>
          <w:rFonts w:asciiTheme="majorHAnsi" w:hAnsiTheme="majorHAnsi"/>
          <w:sz w:val="24"/>
          <w:szCs w:val="24"/>
        </w:rPr>
      </w:pPr>
    </w:p>
    <w:p w:rsidRPr="00972E27" w:rsidR="00972E27" w:rsidP="00972E27" w:rsidRDefault="00972E27">
      <w:pPr>
        <w:rPr>
          <w:rFonts w:asciiTheme="majorHAnsi" w:hAnsiTheme="majorHAnsi"/>
          <w:sz w:val="24"/>
          <w:szCs w:val="24"/>
        </w:rPr>
      </w:pPr>
      <w:r w:rsidRPr="00972E27">
        <w:rPr>
          <w:rFonts w:asciiTheme="majorHAnsi" w:hAnsiTheme="majorHAnsi"/>
          <w:b/>
          <w:bCs/>
          <w:sz w:val="24"/>
          <w:szCs w:val="24"/>
        </w:rPr>
        <w:t>University Hospital Southampton NHS FT</w:t>
      </w:r>
      <w:r w:rsidRPr="00972E27">
        <w:rPr>
          <w:rFonts w:asciiTheme="majorHAnsi" w:hAnsiTheme="majorHAnsi"/>
          <w:b/>
          <w:bCs/>
          <w:sz w:val="24"/>
          <w:szCs w:val="24"/>
          <w:lang w:val="en-US"/>
        </w:rPr>
        <w:t xml:space="preserve"> Data Protection:</w:t>
      </w:r>
    </w:p>
    <w:p w:rsidRPr="00972E27" w:rsidR="00972E27" w:rsidP="00972E27" w:rsidRDefault="00972E27">
      <w:pPr>
        <w:rPr>
          <w:rFonts w:asciiTheme="majorHAnsi" w:hAnsiTheme="majorHAnsi"/>
          <w:sz w:val="24"/>
          <w:szCs w:val="24"/>
          <w:lang w:val="en-US"/>
        </w:rPr>
      </w:pPr>
      <w:r w:rsidRPr="00AE33D7">
        <w:rPr>
          <w:rFonts w:asciiTheme="majorHAnsi" w:hAnsiTheme="majorHAnsi"/>
          <w:bCs/>
          <w:sz w:val="24"/>
          <w:szCs w:val="24"/>
        </w:rPr>
        <w:t>University Hospital Southampton NHS FT</w:t>
      </w:r>
      <w:r w:rsidRPr="00972E27">
        <w:rPr>
          <w:rFonts w:asciiTheme="majorHAnsi" w:hAnsiTheme="majorHAnsi"/>
          <w:sz w:val="24"/>
          <w:szCs w:val="24"/>
          <w:lang w:val="en-US"/>
        </w:rPr>
        <w:t xml:space="preserve"> is required by law to comply with data protection legislation. The UK’s regulator for the legislation is the Information Commissioner’s Offic</w:t>
      </w:r>
      <w:r w:rsidR="00011CF9">
        <w:rPr>
          <w:rFonts w:asciiTheme="majorHAnsi" w:hAnsiTheme="majorHAnsi"/>
          <w:sz w:val="24"/>
          <w:szCs w:val="24"/>
          <w:lang w:val="en-US"/>
        </w:rPr>
        <w:t xml:space="preserve">e. It is the commitment of the </w:t>
      </w:r>
      <w:r w:rsidR="00A56FDE">
        <w:rPr>
          <w:rFonts w:asciiTheme="majorHAnsi" w:hAnsiTheme="majorHAnsi"/>
          <w:sz w:val="24"/>
          <w:szCs w:val="24"/>
          <w:lang w:val="en-US"/>
        </w:rPr>
        <w:t>h</w:t>
      </w:r>
      <w:r w:rsidR="00B92AA4">
        <w:rPr>
          <w:rFonts w:asciiTheme="majorHAnsi" w:hAnsiTheme="majorHAnsi"/>
          <w:sz w:val="24"/>
          <w:szCs w:val="24"/>
          <w:lang w:val="en-US"/>
        </w:rPr>
        <w:t xml:space="preserve">ospital </w:t>
      </w:r>
      <w:r w:rsidRPr="00972E27">
        <w:rPr>
          <w:rFonts w:asciiTheme="majorHAnsi" w:hAnsiTheme="majorHAnsi"/>
          <w:sz w:val="24"/>
          <w:szCs w:val="24"/>
          <w:lang w:val="en-US"/>
        </w:rPr>
        <w:t xml:space="preserve">to ensure that every current employee and registered student complies with this Act to ensure the confidentiality </w:t>
      </w:r>
      <w:r w:rsidR="00011CF9">
        <w:rPr>
          <w:rFonts w:asciiTheme="majorHAnsi" w:hAnsiTheme="majorHAnsi"/>
          <w:sz w:val="24"/>
          <w:szCs w:val="24"/>
          <w:lang w:val="en-US"/>
        </w:rPr>
        <w:t>of any personal data held by UHS</w:t>
      </w:r>
      <w:r w:rsidRPr="00972E27">
        <w:rPr>
          <w:rFonts w:asciiTheme="majorHAnsi" w:hAnsiTheme="majorHAnsi"/>
          <w:sz w:val="24"/>
          <w:szCs w:val="24"/>
          <w:lang w:val="en-US"/>
        </w:rPr>
        <w:t>, in whatever medium. This Act came into force on 25 May 2018.</w:t>
      </w:r>
    </w:p>
    <w:p w:rsidR="00972E27" w:rsidP="00972E27" w:rsidRDefault="00972E27">
      <w:pPr>
        <w:rPr>
          <w:rFonts w:asciiTheme="majorHAnsi" w:hAnsiTheme="majorHAnsi"/>
          <w:sz w:val="24"/>
          <w:szCs w:val="24"/>
          <w:lang w:val="en-US"/>
        </w:rPr>
      </w:pPr>
      <w:r w:rsidRPr="00AE33D7">
        <w:rPr>
          <w:rFonts w:asciiTheme="majorHAnsi" w:hAnsiTheme="majorHAnsi"/>
          <w:bCs/>
          <w:sz w:val="24"/>
          <w:szCs w:val="24"/>
        </w:rPr>
        <w:t>University Hospital Southampton NHS FT</w:t>
      </w:r>
      <w:r w:rsidRPr="00972E27">
        <w:rPr>
          <w:rFonts w:asciiTheme="majorHAnsi" w:hAnsiTheme="majorHAnsi"/>
          <w:sz w:val="24"/>
          <w:szCs w:val="24"/>
          <w:lang w:val="en-US"/>
        </w:rPr>
        <w:t xml:space="preserve"> processes the personal data of living individuals such as its staff, students, contractors, research subjects and customers. </w:t>
      </w:r>
      <w:r w:rsidRPr="00AE33D7">
        <w:rPr>
          <w:rFonts w:asciiTheme="majorHAnsi" w:hAnsiTheme="majorHAnsi"/>
          <w:bCs/>
          <w:sz w:val="24"/>
          <w:szCs w:val="24"/>
        </w:rPr>
        <w:t>University Hospital Southampton NHS FT</w:t>
      </w:r>
      <w:r w:rsidRPr="00972E27">
        <w:rPr>
          <w:rFonts w:asciiTheme="majorHAnsi" w:hAnsiTheme="majorHAnsi"/>
          <w:sz w:val="24"/>
          <w:szCs w:val="24"/>
          <w:lang w:val="en-US"/>
        </w:rPr>
        <w:t xml:space="preserve"> has a data protection </w:t>
      </w:r>
      <w:r w:rsidR="000647EC">
        <w:rPr>
          <w:rFonts w:asciiTheme="majorHAnsi" w:hAnsiTheme="majorHAnsi"/>
          <w:sz w:val="24"/>
          <w:szCs w:val="24"/>
          <w:lang w:val="en-US"/>
        </w:rPr>
        <w:t xml:space="preserve">and confidentiality </w:t>
      </w:r>
      <w:r w:rsidR="001A32E1">
        <w:rPr>
          <w:rFonts w:asciiTheme="majorHAnsi" w:hAnsiTheme="majorHAnsi"/>
          <w:sz w:val="24"/>
          <w:szCs w:val="24"/>
          <w:lang w:val="en-US"/>
        </w:rPr>
        <w:t xml:space="preserve">policy (2018) </w:t>
      </w:r>
      <w:r w:rsidRPr="00972E27">
        <w:rPr>
          <w:rFonts w:asciiTheme="majorHAnsi" w:hAnsiTheme="majorHAnsi"/>
          <w:sz w:val="24"/>
          <w:szCs w:val="24"/>
          <w:lang w:val="en-US"/>
        </w:rPr>
        <w:t>as a commitment to the safeguarding of personal data processed by its staff and students, and to ensure compliance with the legislation. It is the duty of data controllers</w:t>
      </w:r>
      <w:r w:rsidR="001A32E1">
        <w:rPr>
          <w:rFonts w:asciiTheme="majorHAnsi" w:hAnsiTheme="majorHAnsi"/>
          <w:sz w:val="24"/>
          <w:szCs w:val="24"/>
          <w:lang w:val="en-US"/>
        </w:rPr>
        <w:t>,</w:t>
      </w:r>
      <w:r w:rsidRPr="00972E27">
        <w:rPr>
          <w:rFonts w:asciiTheme="majorHAnsi" w:hAnsiTheme="majorHAnsi"/>
          <w:sz w:val="24"/>
          <w:szCs w:val="24"/>
          <w:lang w:val="en-US"/>
        </w:rPr>
        <w:t xml:space="preserve"> such as </w:t>
      </w:r>
      <w:r w:rsidRPr="00AE33D7">
        <w:rPr>
          <w:rFonts w:asciiTheme="majorHAnsi" w:hAnsiTheme="majorHAnsi"/>
          <w:bCs/>
          <w:sz w:val="24"/>
          <w:szCs w:val="24"/>
        </w:rPr>
        <w:t>University Hospital Southampton NHS FT</w:t>
      </w:r>
      <w:r w:rsidR="001A32E1">
        <w:rPr>
          <w:rFonts w:asciiTheme="majorHAnsi" w:hAnsiTheme="majorHAnsi"/>
          <w:bCs/>
          <w:sz w:val="24"/>
          <w:szCs w:val="24"/>
        </w:rPr>
        <w:t>,</w:t>
      </w:r>
      <w:r w:rsidRPr="00972E27">
        <w:rPr>
          <w:rFonts w:asciiTheme="majorHAnsi" w:hAnsiTheme="majorHAnsi"/>
          <w:sz w:val="24"/>
          <w:szCs w:val="24"/>
          <w:lang w:val="en-US"/>
        </w:rPr>
        <w:t xml:space="preserve"> to comply with the data protection principles with respect to personal data. This policy describes how </w:t>
      </w:r>
      <w:r w:rsidRPr="00AE33D7">
        <w:rPr>
          <w:rFonts w:asciiTheme="majorHAnsi" w:hAnsiTheme="majorHAnsi"/>
          <w:bCs/>
          <w:sz w:val="24"/>
          <w:szCs w:val="24"/>
        </w:rPr>
        <w:t>University Hospital Southampton NHS FT</w:t>
      </w:r>
      <w:r w:rsidRPr="00972E27">
        <w:rPr>
          <w:rFonts w:asciiTheme="majorHAnsi" w:hAnsiTheme="majorHAnsi"/>
          <w:sz w:val="24"/>
          <w:szCs w:val="24"/>
          <w:lang w:val="en-US"/>
        </w:rPr>
        <w:t xml:space="preserve"> will discharge its duties in order to ensure continuing compliance with the Act in general and the data protection principles and rights of data subjects in particular.</w:t>
      </w:r>
    </w:p>
    <w:p w:rsidR="00B92AA4" w:rsidP="00972E27" w:rsidRDefault="00B92AA4">
      <w:pPr>
        <w:rPr>
          <w:rFonts w:asciiTheme="majorHAnsi" w:hAnsiTheme="majorHAnsi"/>
          <w:sz w:val="24"/>
          <w:szCs w:val="24"/>
          <w:lang w:val="en-US"/>
        </w:rPr>
      </w:pPr>
      <w:r>
        <w:rPr>
          <w:rFonts w:asciiTheme="majorHAnsi" w:hAnsiTheme="majorHAnsi"/>
          <w:sz w:val="24"/>
          <w:szCs w:val="24"/>
          <w:lang w:val="en-US"/>
        </w:rPr>
        <w:t xml:space="preserve">Further information may be accessed through the following University Hospital </w:t>
      </w:r>
      <w:r w:rsidR="00A56FDE">
        <w:rPr>
          <w:rFonts w:asciiTheme="majorHAnsi" w:hAnsiTheme="majorHAnsi"/>
          <w:sz w:val="24"/>
          <w:szCs w:val="24"/>
          <w:lang w:val="en-US"/>
        </w:rPr>
        <w:t xml:space="preserve">Southampton </w:t>
      </w:r>
      <w:r>
        <w:rPr>
          <w:rFonts w:asciiTheme="majorHAnsi" w:hAnsiTheme="majorHAnsi"/>
          <w:sz w:val="24"/>
          <w:szCs w:val="24"/>
          <w:lang w:val="en-US"/>
        </w:rPr>
        <w:t>NHS FT link:</w:t>
      </w:r>
    </w:p>
    <w:p w:rsidR="00B92AA4" w:rsidP="00972E27" w:rsidRDefault="00AC30DA">
      <w:pPr>
        <w:rPr>
          <w:rStyle w:val="Hyperlink"/>
          <w:rFonts w:asciiTheme="majorHAnsi" w:hAnsiTheme="majorHAnsi"/>
          <w:sz w:val="24"/>
          <w:szCs w:val="24"/>
          <w:lang w:val="en-US"/>
        </w:rPr>
      </w:pPr>
      <w:hyperlink w:history="1" r:id="rId6">
        <w:r w:rsidRPr="00DD1D01" w:rsidR="00FD07AB">
          <w:rPr>
            <w:rStyle w:val="Hyperlink"/>
            <w:rFonts w:asciiTheme="majorHAnsi" w:hAnsiTheme="majorHAnsi"/>
            <w:sz w:val="24"/>
            <w:szCs w:val="24"/>
            <w:lang w:val="en-US"/>
          </w:rPr>
          <w:t>http://www.uhs.nhs.uk/ClinicalResearchinSouthampton/Public-and-patients/Get-involved/General-Data-Protection-Regulation.aspx</w:t>
        </w:r>
      </w:hyperlink>
    </w:p>
    <w:p w:rsidR="00B57289" w:rsidP="00972E27" w:rsidRDefault="00B57289">
      <w:pPr>
        <w:rPr>
          <w:rFonts w:asciiTheme="majorHAnsi" w:hAnsiTheme="majorHAnsi"/>
          <w:sz w:val="24"/>
          <w:szCs w:val="24"/>
          <w:lang w:val="en-US"/>
        </w:rPr>
      </w:pPr>
      <w:r>
        <w:rPr>
          <w:rStyle w:val="Hyperlink"/>
          <w:rFonts w:asciiTheme="majorHAnsi" w:hAnsiTheme="majorHAnsi"/>
          <w:color w:val="auto"/>
          <w:sz w:val="24"/>
          <w:szCs w:val="24"/>
          <w:u w:val="none"/>
          <w:lang w:val="en-US"/>
        </w:rPr>
        <w:lastRenderedPageBreak/>
        <w:t xml:space="preserve">or the following link for the Erasmus University Medical Centre (in Dutch): </w:t>
      </w:r>
      <w:hyperlink w:history="1" r:id="rId7">
        <w:r w:rsidRPr="00B57289">
          <w:rPr>
            <w:rStyle w:val="Hyperlink"/>
            <w:rFonts w:asciiTheme="majorHAnsi" w:hAnsiTheme="majorHAnsi"/>
            <w:iCs/>
            <w:sz w:val="24"/>
            <w:szCs w:val="24"/>
          </w:rPr>
          <w:t>https://autoriteitpersoonsgegevens.nl/nl/onderwerpen/avg-nieuwe-europese-privacywetgeving/controle-over-je-data</w:t>
        </w:r>
      </w:hyperlink>
    </w:p>
    <w:p w:rsidR="00B57289" w:rsidP="00972E27" w:rsidRDefault="00B57289">
      <w:pPr>
        <w:rPr>
          <w:rFonts w:asciiTheme="majorHAnsi" w:hAnsiTheme="majorHAnsi"/>
          <w:sz w:val="24"/>
          <w:szCs w:val="24"/>
          <w:lang w:val="en-US"/>
        </w:rPr>
      </w:pPr>
      <w:r>
        <w:rPr>
          <w:rFonts w:asciiTheme="majorHAnsi" w:hAnsiTheme="majorHAnsi"/>
          <w:sz w:val="24"/>
          <w:szCs w:val="24"/>
          <w:lang w:val="en-US"/>
        </w:rPr>
        <w:t>or the following link to the UK Information Commissioner’s Office (ICO):</w:t>
      </w:r>
    </w:p>
    <w:p w:rsidRPr="00B57289" w:rsidR="00B57289" w:rsidP="00972E27" w:rsidRDefault="00AC30DA">
      <w:pPr>
        <w:rPr>
          <w:rFonts w:asciiTheme="majorHAnsi" w:hAnsiTheme="majorHAnsi"/>
          <w:sz w:val="24"/>
          <w:szCs w:val="24"/>
          <w:lang w:val="en-US"/>
        </w:rPr>
      </w:pPr>
      <w:hyperlink w:history="1" r:id="rId8">
        <w:r w:rsidRPr="00D7474D" w:rsidR="00B57289">
          <w:rPr>
            <w:rStyle w:val="Hyperlink"/>
            <w:rFonts w:asciiTheme="majorHAnsi" w:hAnsiTheme="majorHAnsi"/>
            <w:sz w:val="24"/>
            <w:szCs w:val="24"/>
            <w:lang w:val="en-US"/>
          </w:rPr>
          <w:t>https://ico.org.uk/</w:t>
        </w:r>
      </w:hyperlink>
      <w:r w:rsidR="00B57289">
        <w:rPr>
          <w:rFonts w:asciiTheme="majorHAnsi" w:hAnsiTheme="majorHAnsi"/>
          <w:sz w:val="24"/>
          <w:szCs w:val="24"/>
          <w:lang w:val="en-US"/>
        </w:rPr>
        <w:t xml:space="preserve"> </w:t>
      </w:r>
    </w:p>
    <w:p w:rsidRPr="009964FD" w:rsidR="009964FD" w:rsidP="009964FD" w:rsidRDefault="009964FD">
      <w:pPr>
        <w:shd w:val="clear" w:color="auto" w:fill="FFFFFF"/>
        <w:spacing w:after="0" w:line="360" w:lineRule="atLeast"/>
        <w:rPr>
          <w:rFonts w:eastAsia="Times New Roman" w:cs="Arial" w:asciiTheme="majorHAnsi" w:hAnsiTheme="majorHAnsi"/>
          <w:sz w:val="24"/>
          <w:szCs w:val="18"/>
        </w:rPr>
      </w:pPr>
      <w:r w:rsidRPr="00AE33D7">
        <w:rPr>
          <w:rFonts w:eastAsia="Times New Roman" w:cs="Arial" w:asciiTheme="majorHAnsi" w:hAnsiTheme="majorHAnsi"/>
          <w:b/>
          <w:bCs/>
          <w:sz w:val="24"/>
          <w:szCs w:val="18"/>
        </w:rPr>
        <w:t>Data Protection Officer Contact details:</w:t>
      </w:r>
    </w:p>
    <w:p w:rsidRPr="00D1564D" w:rsidR="00D1564D" w:rsidP="00D1564D" w:rsidRDefault="00D1564D">
      <w:pPr>
        <w:pStyle w:val="NoSpacing"/>
        <w:rPr>
          <w:rFonts w:asciiTheme="majorHAnsi" w:hAnsiTheme="majorHAnsi"/>
          <w:sz w:val="24"/>
          <w:szCs w:val="24"/>
        </w:rPr>
      </w:pPr>
      <w:r w:rsidRPr="00D1564D">
        <w:rPr>
          <w:rFonts w:asciiTheme="majorHAnsi" w:hAnsiTheme="majorHAnsi"/>
          <w:sz w:val="24"/>
          <w:szCs w:val="24"/>
        </w:rPr>
        <w:t>Data protection officer</w:t>
      </w:r>
    </w:p>
    <w:p w:rsidRPr="00D1564D" w:rsidR="00D1564D" w:rsidP="00D1564D" w:rsidRDefault="00D1564D">
      <w:pPr>
        <w:pStyle w:val="NoSpacing"/>
        <w:rPr>
          <w:rFonts w:asciiTheme="majorHAnsi" w:hAnsiTheme="majorHAnsi"/>
          <w:sz w:val="24"/>
          <w:szCs w:val="24"/>
        </w:rPr>
      </w:pPr>
      <w:r w:rsidRPr="00D1564D">
        <w:rPr>
          <w:rFonts w:asciiTheme="majorHAnsi" w:hAnsiTheme="majorHAnsi"/>
          <w:sz w:val="24"/>
          <w:szCs w:val="24"/>
        </w:rPr>
        <w:t>Trust Headquarters</w:t>
      </w:r>
    </w:p>
    <w:p w:rsidRPr="00D1564D" w:rsidR="00D1564D" w:rsidP="00D1564D" w:rsidRDefault="00D1564D">
      <w:pPr>
        <w:pStyle w:val="NoSpacing"/>
        <w:rPr>
          <w:rFonts w:asciiTheme="majorHAnsi" w:hAnsiTheme="majorHAnsi"/>
          <w:sz w:val="24"/>
          <w:szCs w:val="24"/>
        </w:rPr>
      </w:pPr>
      <w:r w:rsidRPr="00D1564D">
        <w:rPr>
          <w:rFonts w:asciiTheme="majorHAnsi" w:hAnsiTheme="majorHAnsi"/>
          <w:sz w:val="24"/>
          <w:szCs w:val="24"/>
        </w:rPr>
        <w:t>University Hospital Southampton</w:t>
      </w:r>
    </w:p>
    <w:p w:rsidRPr="00D1564D" w:rsidR="00D1564D" w:rsidP="00D1564D" w:rsidRDefault="00D1564D">
      <w:pPr>
        <w:pStyle w:val="NoSpacing"/>
        <w:rPr>
          <w:rFonts w:asciiTheme="majorHAnsi" w:hAnsiTheme="majorHAnsi"/>
          <w:sz w:val="24"/>
          <w:szCs w:val="24"/>
        </w:rPr>
      </w:pPr>
      <w:r w:rsidRPr="00D1564D">
        <w:rPr>
          <w:rFonts w:asciiTheme="majorHAnsi" w:hAnsiTheme="majorHAnsi"/>
          <w:sz w:val="24"/>
          <w:szCs w:val="24"/>
        </w:rPr>
        <w:t>Tremona Road</w:t>
      </w:r>
    </w:p>
    <w:p w:rsidRPr="00D1564D" w:rsidR="00D1564D" w:rsidP="00D1564D" w:rsidRDefault="00D1564D">
      <w:pPr>
        <w:pStyle w:val="NoSpacing"/>
        <w:rPr>
          <w:rFonts w:asciiTheme="majorHAnsi" w:hAnsiTheme="majorHAnsi"/>
          <w:sz w:val="24"/>
          <w:szCs w:val="24"/>
        </w:rPr>
      </w:pPr>
      <w:r w:rsidRPr="00D1564D">
        <w:rPr>
          <w:rFonts w:asciiTheme="majorHAnsi" w:hAnsiTheme="majorHAnsi"/>
          <w:sz w:val="24"/>
          <w:szCs w:val="24"/>
        </w:rPr>
        <w:t>Southampton</w:t>
      </w:r>
    </w:p>
    <w:p w:rsidR="009964FD" w:rsidP="00D1564D" w:rsidRDefault="00D1564D">
      <w:pPr>
        <w:pStyle w:val="NoSpacing"/>
        <w:rPr>
          <w:rFonts w:asciiTheme="majorHAnsi" w:hAnsiTheme="majorHAnsi"/>
          <w:sz w:val="24"/>
          <w:szCs w:val="24"/>
        </w:rPr>
      </w:pPr>
      <w:r w:rsidRPr="00D1564D">
        <w:rPr>
          <w:rFonts w:asciiTheme="majorHAnsi" w:hAnsiTheme="majorHAnsi"/>
          <w:sz w:val="24"/>
          <w:szCs w:val="24"/>
        </w:rPr>
        <w:t>SO16 6YD</w:t>
      </w:r>
    </w:p>
    <w:p w:rsidR="001377A6" w:rsidP="00D1564D" w:rsidRDefault="001377A6">
      <w:pPr>
        <w:pStyle w:val="NoSpacing"/>
        <w:rPr>
          <w:rFonts w:asciiTheme="majorHAnsi" w:hAnsiTheme="majorHAnsi"/>
          <w:sz w:val="24"/>
          <w:szCs w:val="24"/>
        </w:rPr>
      </w:pPr>
    </w:p>
    <w:p w:rsidRPr="00D1564D" w:rsidR="001377A6" w:rsidP="00D1564D" w:rsidRDefault="001377A6">
      <w:pPr>
        <w:pStyle w:val="NoSpacing"/>
        <w:rPr>
          <w:rFonts w:asciiTheme="majorHAnsi" w:hAnsiTheme="majorHAnsi"/>
          <w:sz w:val="24"/>
          <w:szCs w:val="24"/>
        </w:rPr>
      </w:pPr>
      <w:r>
        <w:rPr>
          <w:rFonts w:asciiTheme="majorHAnsi" w:hAnsiTheme="majorHAnsi"/>
          <w:sz w:val="24"/>
          <w:szCs w:val="24"/>
        </w:rPr>
        <w:t xml:space="preserve">For </w:t>
      </w:r>
      <w:r w:rsidR="00A56FDE">
        <w:rPr>
          <w:rFonts w:asciiTheme="majorHAnsi" w:hAnsiTheme="majorHAnsi"/>
          <w:sz w:val="24"/>
          <w:szCs w:val="24"/>
        </w:rPr>
        <w:t xml:space="preserve">additional </w:t>
      </w:r>
      <w:r>
        <w:rPr>
          <w:rFonts w:asciiTheme="majorHAnsi" w:hAnsiTheme="majorHAnsi"/>
          <w:sz w:val="24"/>
          <w:szCs w:val="24"/>
        </w:rPr>
        <w:t xml:space="preserve">contact details please access above </w:t>
      </w:r>
      <w:r w:rsidR="00B57289">
        <w:rPr>
          <w:rFonts w:asciiTheme="majorHAnsi" w:hAnsiTheme="majorHAnsi"/>
          <w:sz w:val="24"/>
          <w:szCs w:val="24"/>
        </w:rPr>
        <w:t xml:space="preserve">UHS </w:t>
      </w:r>
      <w:r>
        <w:rPr>
          <w:rFonts w:asciiTheme="majorHAnsi" w:hAnsiTheme="majorHAnsi"/>
          <w:sz w:val="24"/>
          <w:szCs w:val="24"/>
        </w:rPr>
        <w:t>link</w:t>
      </w:r>
    </w:p>
    <w:p w:rsidRPr="009964FD" w:rsidR="00AE33D7" w:rsidP="009964FD" w:rsidRDefault="00AE33D7">
      <w:pPr>
        <w:shd w:val="clear" w:color="auto" w:fill="FFFFFF"/>
        <w:spacing w:after="0" w:line="360" w:lineRule="atLeast"/>
        <w:rPr>
          <w:rFonts w:eastAsia="Times New Roman" w:cs="Arial" w:asciiTheme="majorHAnsi" w:hAnsiTheme="majorHAnsi"/>
          <w:sz w:val="24"/>
          <w:szCs w:val="18"/>
        </w:rPr>
      </w:pPr>
    </w:p>
    <w:p w:rsidRPr="009964FD" w:rsidR="009964FD" w:rsidP="009964FD" w:rsidRDefault="009964FD">
      <w:pPr>
        <w:shd w:val="clear" w:color="auto" w:fill="FFFFFF"/>
        <w:spacing w:after="0" w:line="360" w:lineRule="atLeast"/>
        <w:rPr>
          <w:rFonts w:eastAsia="Times New Roman" w:cs="Arial" w:asciiTheme="majorHAnsi" w:hAnsiTheme="majorHAnsi"/>
          <w:sz w:val="24"/>
          <w:szCs w:val="18"/>
        </w:rPr>
      </w:pPr>
      <w:r w:rsidRPr="00AE33D7">
        <w:rPr>
          <w:rFonts w:eastAsia="Times New Roman" w:cs="Arial" w:asciiTheme="majorHAnsi" w:hAnsiTheme="majorHAnsi"/>
          <w:b/>
          <w:bCs/>
          <w:sz w:val="24"/>
          <w:szCs w:val="18"/>
        </w:rPr>
        <w:t>Opting-out</w:t>
      </w:r>
    </w:p>
    <w:p w:rsidRPr="009964FD" w:rsidR="009964FD" w:rsidP="009964FD" w:rsidRDefault="009964FD">
      <w:pPr>
        <w:shd w:val="clear" w:color="auto" w:fill="FFFFFF"/>
        <w:spacing w:after="240" w:line="360" w:lineRule="atLeast"/>
        <w:rPr>
          <w:rFonts w:eastAsia="Times New Roman" w:cs="Arial" w:asciiTheme="majorHAnsi" w:hAnsiTheme="majorHAnsi"/>
          <w:sz w:val="24"/>
          <w:szCs w:val="18"/>
        </w:rPr>
      </w:pPr>
      <w:r w:rsidRPr="009964FD">
        <w:rPr>
          <w:rFonts w:eastAsia="Times New Roman" w:cs="Arial" w:asciiTheme="majorHAnsi" w:hAnsiTheme="majorHAnsi"/>
          <w:sz w:val="24"/>
          <w:szCs w:val="18"/>
        </w:rPr>
        <w:t xml:space="preserve">We are happy to discuss your rights to protect your data, and how exactly it will be used in our research. If you would like further information about the use of your data in this research study, or would like to lodge a complaint to a supervisory authority – please contact us on the details given below. If you would like to request that your confidential patient information is not included in this study, please contact us between </w:t>
      </w:r>
      <w:r w:rsidR="00011CF9">
        <w:rPr>
          <w:rFonts w:eastAsia="Times New Roman" w:cs="Arial" w:asciiTheme="majorHAnsi" w:hAnsiTheme="majorHAnsi"/>
          <w:sz w:val="24"/>
          <w:szCs w:val="18"/>
        </w:rPr>
        <w:t>1</w:t>
      </w:r>
      <w:r w:rsidR="001377A6">
        <w:rPr>
          <w:rFonts w:eastAsia="Times New Roman" w:cs="Arial" w:asciiTheme="majorHAnsi" w:hAnsiTheme="majorHAnsi"/>
          <w:sz w:val="24"/>
          <w:szCs w:val="18"/>
          <w:vertAlign w:val="superscript"/>
        </w:rPr>
        <w:t>st</w:t>
      </w:r>
      <w:r w:rsidR="00011CF9">
        <w:rPr>
          <w:rFonts w:eastAsia="Times New Roman" w:cs="Arial" w:asciiTheme="majorHAnsi" w:hAnsiTheme="majorHAnsi"/>
          <w:sz w:val="24"/>
          <w:szCs w:val="18"/>
        </w:rPr>
        <w:t xml:space="preserve"> February- </w:t>
      </w:r>
      <w:r w:rsidRPr="009964FD">
        <w:rPr>
          <w:rFonts w:eastAsia="Times New Roman" w:cs="Arial" w:asciiTheme="majorHAnsi" w:hAnsiTheme="majorHAnsi"/>
          <w:sz w:val="24"/>
          <w:szCs w:val="18"/>
        </w:rPr>
        <w:t xml:space="preserve"> </w:t>
      </w:r>
      <w:r w:rsidR="00AE33D7">
        <w:rPr>
          <w:rFonts w:eastAsia="Times New Roman" w:cs="Arial" w:asciiTheme="majorHAnsi" w:hAnsiTheme="majorHAnsi"/>
          <w:sz w:val="24"/>
          <w:szCs w:val="18"/>
        </w:rPr>
        <w:t>1</w:t>
      </w:r>
      <w:r w:rsidRPr="00AE33D7" w:rsidR="00AE33D7">
        <w:rPr>
          <w:rFonts w:eastAsia="Times New Roman" w:cs="Arial" w:asciiTheme="majorHAnsi" w:hAnsiTheme="majorHAnsi"/>
          <w:sz w:val="24"/>
          <w:szCs w:val="18"/>
          <w:vertAlign w:val="superscript"/>
        </w:rPr>
        <w:t>st</w:t>
      </w:r>
      <w:r w:rsidR="00AE33D7">
        <w:rPr>
          <w:rFonts w:eastAsia="Times New Roman" w:cs="Arial" w:asciiTheme="majorHAnsi" w:hAnsiTheme="majorHAnsi"/>
          <w:sz w:val="24"/>
          <w:szCs w:val="18"/>
        </w:rPr>
        <w:t xml:space="preserve"> July</w:t>
      </w:r>
      <w:r w:rsidRPr="009964FD">
        <w:rPr>
          <w:rFonts w:eastAsia="Times New Roman" w:cs="Arial" w:asciiTheme="majorHAnsi" w:hAnsiTheme="majorHAnsi"/>
          <w:sz w:val="24"/>
          <w:szCs w:val="18"/>
        </w:rPr>
        <w:t xml:space="preserve"> 201</w:t>
      </w:r>
      <w:r w:rsidR="00AE33D7">
        <w:rPr>
          <w:rFonts w:eastAsia="Times New Roman" w:cs="Arial" w:asciiTheme="majorHAnsi" w:hAnsiTheme="majorHAnsi"/>
          <w:sz w:val="24"/>
          <w:szCs w:val="18"/>
        </w:rPr>
        <w:t>9</w:t>
      </w:r>
      <w:r w:rsidR="00011CF9">
        <w:rPr>
          <w:rFonts w:eastAsia="Times New Roman" w:cs="Arial" w:asciiTheme="majorHAnsi" w:hAnsiTheme="majorHAnsi"/>
          <w:sz w:val="24"/>
          <w:szCs w:val="18"/>
        </w:rPr>
        <w:t>.</w:t>
      </w:r>
    </w:p>
    <w:p w:rsidRPr="009964FD" w:rsidR="009964FD" w:rsidP="009964FD" w:rsidRDefault="009964FD">
      <w:pPr>
        <w:shd w:val="clear" w:color="auto" w:fill="FFFFFF"/>
        <w:spacing w:after="240" w:line="360" w:lineRule="atLeast"/>
        <w:rPr>
          <w:rFonts w:eastAsia="Times New Roman" w:cs="Arial" w:asciiTheme="majorHAnsi" w:hAnsiTheme="majorHAnsi"/>
          <w:sz w:val="24"/>
          <w:szCs w:val="18"/>
          <w:u w:val="single"/>
        </w:rPr>
      </w:pPr>
      <w:r w:rsidRPr="009964FD">
        <w:rPr>
          <w:rFonts w:eastAsia="Times New Roman" w:cs="Arial" w:asciiTheme="majorHAnsi" w:hAnsiTheme="majorHAnsi"/>
          <w:sz w:val="24"/>
          <w:szCs w:val="18"/>
          <w:u w:val="single"/>
        </w:rPr>
        <w:t>Contact details:</w:t>
      </w:r>
    </w:p>
    <w:p w:rsidR="009964FD" w:rsidP="009964FD" w:rsidRDefault="00D1564D">
      <w:pPr>
        <w:shd w:val="clear" w:color="auto" w:fill="FFFFFF"/>
        <w:spacing w:after="0" w:line="360" w:lineRule="atLeast"/>
        <w:rPr>
          <w:rFonts w:eastAsia="Times New Roman" w:cs="Arial" w:asciiTheme="majorHAnsi" w:hAnsiTheme="majorHAnsi"/>
          <w:sz w:val="24"/>
          <w:szCs w:val="18"/>
        </w:rPr>
      </w:pPr>
      <w:r>
        <w:rPr>
          <w:rFonts w:eastAsia="Times New Roman" w:cs="Arial" w:asciiTheme="majorHAnsi" w:hAnsiTheme="majorHAnsi"/>
          <w:sz w:val="24"/>
          <w:szCs w:val="18"/>
        </w:rPr>
        <w:t>Zoe Nicholas, Karen Banks</w:t>
      </w:r>
    </w:p>
    <w:p w:rsidR="00D1564D" w:rsidP="009964FD" w:rsidRDefault="00D1564D">
      <w:pPr>
        <w:shd w:val="clear" w:color="auto" w:fill="FFFFFF"/>
        <w:spacing w:after="0" w:line="360" w:lineRule="atLeast"/>
        <w:rPr>
          <w:rFonts w:eastAsia="Times New Roman" w:cs="Arial" w:asciiTheme="majorHAnsi" w:hAnsiTheme="majorHAnsi"/>
          <w:sz w:val="24"/>
          <w:szCs w:val="18"/>
        </w:rPr>
      </w:pPr>
      <w:r>
        <w:rPr>
          <w:rFonts w:eastAsia="Times New Roman" w:cs="Arial" w:asciiTheme="majorHAnsi" w:hAnsiTheme="majorHAnsi"/>
          <w:sz w:val="24"/>
          <w:szCs w:val="18"/>
        </w:rPr>
        <w:t>The Coronary Research Group</w:t>
      </w:r>
    </w:p>
    <w:p w:rsidR="00D1564D" w:rsidP="009964FD" w:rsidRDefault="00D1564D">
      <w:pPr>
        <w:shd w:val="clear" w:color="auto" w:fill="FFFFFF"/>
        <w:spacing w:after="0" w:line="360" w:lineRule="atLeast"/>
        <w:rPr>
          <w:rFonts w:eastAsia="Times New Roman" w:cs="Arial" w:asciiTheme="majorHAnsi" w:hAnsiTheme="majorHAnsi"/>
          <w:sz w:val="24"/>
          <w:szCs w:val="18"/>
        </w:rPr>
      </w:pPr>
      <w:r>
        <w:rPr>
          <w:rFonts w:eastAsia="Times New Roman" w:cs="Arial" w:asciiTheme="majorHAnsi" w:hAnsiTheme="majorHAnsi"/>
          <w:sz w:val="24"/>
          <w:szCs w:val="18"/>
        </w:rPr>
        <w:t>Rm ED0</w:t>
      </w:r>
      <w:r w:rsidR="00A56FDE">
        <w:rPr>
          <w:rFonts w:eastAsia="Times New Roman" w:cs="Arial" w:asciiTheme="majorHAnsi" w:hAnsiTheme="majorHAnsi"/>
          <w:sz w:val="24"/>
          <w:szCs w:val="18"/>
        </w:rPr>
        <w:t>2</w:t>
      </w:r>
      <w:r>
        <w:rPr>
          <w:rFonts w:eastAsia="Times New Roman" w:cs="Arial" w:asciiTheme="majorHAnsi" w:hAnsiTheme="majorHAnsi"/>
          <w:sz w:val="24"/>
          <w:szCs w:val="18"/>
        </w:rPr>
        <w:t>9 E Level, North wing</w:t>
      </w:r>
    </w:p>
    <w:p w:rsidR="00D1564D" w:rsidP="009964FD" w:rsidRDefault="00D1564D">
      <w:pPr>
        <w:shd w:val="clear" w:color="auto" w:fill="FFFFFF"/>
        <w:spacing w:after="0" w:line="360" w:lineRule="atLeast"/>
        <w:rPr>
          <w:rFonts w:eastAsia="Times New Roman" w:cs="Arial" w:asciiTheme="majorHAnsi" w:hAnsiTheme="majorHAnsi"/>
          <w:sz w:val="24"/>
          <w:szCs w:val="18"/>
        </w:rPr>
      </w:pPr>
      <w:r>
        <w:rPr>
          <w:rFonts w:eastAsia="Times New Roman" w:cs="Arial" w:asciiTheme="majorHAnsi" w:hAnsiTheme="majorHAnsi"/>
          <w:sz w:val="24"/>
          <w:szCs w:val="18"/>
        </w:rPr>
        <w:t>Southampton General Hospital</w:t>
      </w:r>
    </w:p>
    <w:p w:rsidR="00D1564D" w:rsidP="009964FD" w:rsidRDefault="00D1564D">
      <w:pPr>
        <w:shd w:val="clear" w:color="auto" w:fill="FFFFFF"/>
        <w:spacing w:after="0" w:line="360" w:lineRule="atLeast"/>
        <w:rPr>
          <w:rFonts w:eastAsia="Times New Roman" w:cs="Arial" w:asciiTheme="majorHAnsi" w:hAnsiTheme="majorHAnsi"/>
          <w:sz w:val="24"/>
          <w:szCs w:val="18"/>
        </w:rPr>
      </w:pPr>
      <w:r>
        <w:rPr>
          <w:rFonts w:eastAsia="Times New Roman" w:cs="Arial" w:asciiTheme="majorHAnsi" w:hAnsiTheme="majorHAnsi"/>
          <w:sz w:val="24"/>
          <w:szCs w:val="18"/>
        </w:rPr>
        <w:t xml:space="preserve">Tremona Road </w:t>
      </w:r>
    </w:p>
    <w:p w:rsidR="00D1564D" w:rsidP="009964FD" w:rsidRDefault="00D1564D">
      <w:pPr>
        <w:shd w:val="clear" w:color="auto" w:fill="FFFFFF"/>
        <w:spacing w:after="0" w:line="360" w:lineRule="atLeast"/>
        <w:rPr>
          <w:rFonts w:eastAsia="Times New Roman" w:cs="Arial" w:asciiTheme="majorHAnsi" w:hAnsiTheme="majorHAnsi"/>
          <w:sz w:val="24"/>
          <w:szCs w:val="18"/>
        </w:rPr>
      </w:pPr>
      <w:r>
        <w:rPr>
          <w:rFonts w:eastAsia="Times New Roman" w:cs="Arial" w:asciiTheme="majorHAnsi" w:hAnsiTheme="majorHAnsi"/>
          <w:sz w:val="24"/>
          <w:szCs w:val="18"/>
        </w:rPr>
        <w:t>SO16 6YD</w:t>
      </w:r>
    </w:p>
    <w:p w:rsidR="00D1564D" w:rsidP="009964FD" w:rsidRDefault="00D1564D">
      <w:pPr>
        <w:shd w:val="clear" w:color="auto" w:fill="FFFFFF"/>
        <w:spacing w:after="0" w:line="360" w:lineRule="atLeast"/>
        <w:rPr>
          <w:rFonts w:eastAsia="Times New Roman" w:cs="Arial" w:asciiTheme="majorHAnsi" w:hAnsiTheme="majorHAnsi"/>
          <w:sz w:val="24"/>
          <w:szCs w:val="18"/>
        </w:rPr>
      </w:pPr>
      <w:r>
        <w:rPr>
          <w:rFonts w:eastAsia="Times New Roman" w:cs="Arial" w:asciiTheme="majorHAnsi" w:hAnsiTheme="majorHAnsi"/>
          <w:sz w:val="24"/>
          <w:szCs w:val="18"/>
        </w:rPr>
        <w:t>02381 208538</w:t>
      </w:r>
    </w:p>
    <w:p w:rsidR="00991C1D" w:rsidP="009964FD" w:rsidRDefault="00991C1D">
      <w:pPr>
        <w:shd w:val="clear" w:color="auto" w:fill="FFFFFF"/>
        <w:spacing w:after="0" w:line="360" w:lineRule="atLeast"/>
        <w:rPr>
          <w:rFonts w:eastAsia="Times New Roman" w:cs="Arial" w:asciiTheme="majorHAnsi" w:hAnsiTheme="majorHAnsi"/>
          <w:sz w:val="24"/>
          <w:szCs w:val="18"/>
        </w:rPr>
      </w:pPr>
    </w:p>
    <w:p w:rsidR="005C01F2" w:rsidP="005C01F2" w:rsidRDefault="005C01F2">
      <w:pPr>
        <w:shd w:val="clear" w:color="auto" w:fill="FFFFFF"/>
        <w:spacing w:after="0" w:line="360" w:lineRule="atLeast"/>
        <w:rPr>
          <w:rFonts w:eastAsia="Times New Roman" w:cs="Arial" w:asciiTheme="majorHAnsi" w:hAnsiTheme="majorHAnsi"/>
          <w:sz w:val="24"/>
          <w:szCs w:val="18"/>
        </w:rPr>
      </w:pPr>
      <w:r w:rsidRPr="00420385">
        <w:rPr>
          <w:rFonts w:eastAsia="Times New Roman" w:cs="Arial" w:asciiTheme="majorHAnsi" w:hAnsiTheme="majorHAnsi"/>
          <w:sz w:val="24"/>
          <w:szCs w:val="18"/>
        </w:rPr>
        <w:t>Erasmus Medical Centre</w:t>
      </w:r>
    </w:p>
    <w:p w:rsidR="00800606" w:rsidP="005C01F2" w:rsidRDefault="00800606">
      <w:pPr>
        <w:shd w:val="clear" w:color="auto" w:fill="FFFFFF"/>
        <w:spacing w:after="0" w:line="360" w:lineRule="atLeast"/>
        <w:rPr>
          <w:rFonts w:eastAsia="Times New Roman" w:cs="Arial" w:asciiTheme="majorHAnsi" w:hAnsiTheme="majorHAnsi"/>
          <w:sz w:val="24"/>
          <w:szCs w:val="18"/>
        </w:rPr>
      </w:pPr>
      <w:r>
        <w:rPr>
          <w:rFonts w:eastAsia="Times New Roman" w:cs="Arial" w:asciiTheme="majorHAnsi" w:hAnsiTheme="majorHAnsi"/>
          <w:sz w:val="24"/>
          <w:szCs w:val="18"/>
        </w:rPr>
        <w:t>Daniel J.F.M. Thuijs</w:t>
      </w:r>
    </w:p>
    <w:p w:rsidRPr="00420385" w:rsidR="005C01F2" w:rsidP="005C01F2" w:rsidRDefault="005C01F2">
      <w:pPr>
        <w:shd w:val="clear" w:color="auto" w:fill="FFFFFF"/>
        <w:spacing w:after="0" w:line="360" w:lineRule="atLeast"/>
        <w:rPr>
          <w:rFonts w:eastAsia="Times New Roman" w:cs="Arial" w:asciiTheme="majorHAnsi" w:hAnsiTheme="majorHAnsi"/>
          <w:sz w:val="24"/>
          <w:szCs w:val="18"/>
        </w:rPr>
      </w:pPr>
      <w:r>
        <w:rPr>
          <w:rFonts w:eastAsia="Times New Roman" w:cs="Arial" w:asciiTheme="majorHAnsi" w:hAnsiTheme="majorHAnsi"/>
          <w:sz w:val="24"/>
          <w:szCs w:val="18"/>
        </w:rPr>
        <w:t>Cardiothoracic Surgery department</w:t>
      </w:r>
    </w:p>
    <w:p w:rsidRPr="00420385" w:rsidR="005C01F2" w:rsidP="005C01F2" w:rsidRDefault="005C01F2">
      <w:pPr>
        <w:shd w:val="clear" w:color="auto" w:fill="FFFFFF"/>
        <w:spacing w:after="0" w:line="360" w:lineRule="atLeast"/>
        <w:rPr>
          <w:rFonts w:eastAsia="Times New Roman" w:cs="Arial" w:asciiTheme="majorHAnsi" w:hAnsiTheme="majorHAnsi"/>
          <w:sz w:val="24"/>
          <w:szCs w:val="18"/>
        </w:rPr>
      </w:pPr>
      <w:r w:rsidRPr="00420385">
        <w:rPr>
          <w:rFonts w:eastAsia="Times New Roman" w:cs="Arial" w:asciiTheme="majorHAnsi" w:hAnsiTheme="majorHAnsi"/>
          <w:sz w:val="24"/>
          <w:szCs w:val="18"/>
        </w:rPr>
        <w:t>P.O. box 2040 3000CA</w:t>
      </w:r>
    </w:p>
    <w:p w:rsidRPr="00420385" w:rsidR="005C01F2" w:rsidP="005C01F2" w:rsidRDefault="005C01F2">
      <w:pPr>
        <w:shd w:val="clear" w:color="auto" w:fill="FFFFFF"/>
        <w:spacing w:after="0" w:line="360" w:lineRule="atLeast"/>
        <w:rPr>
          <w:rFonts w:eastAsia="Times New Roman" w:cs="Arial" w:asciiTheme="majorHAnsi" w:hAnsiTheme="majorHAnsi"/>
          <w:sz w:val="24"/>
          <w:szCs w:val="18"/>
        </w:rPr>
      </w:pPr>
      <w:r w:rsidRPr="00420385">
        <w:rPr>
          <w:rFonts w:eastAsia="Times New Roman" w:cs="Arial" w:asciiTheme="majorHAnsi" w:hAnsiTheme="majorHAnsi"/>
          <w:sz w:val="24"/>
          <w:szCs w:val="18"/>
        </w:rPr>
        <w:lastRenderedPageBreak/>
        <w:t>Rotterdam</w:t>
      </w:r>
      <w:r>
        <w:rPr>
          <w:rFonts w:eastAsia="Times New Roman" w:cs="Arial" w:asciiTheme="majorHAnsi" w:hAnsiTheme="majorHAnsi"/>
          <w:sz w:val="24"/>
          <w:szCs w:val="18"/>
        </w:rPr>
        <w:t>, The Netherlands</w:t>
      </w:r>
    </w:p>
    <w:p w:rsidRPr="00420385" w:rsidR="005C01F2" w:rsidP="005C01F2" w:rsidRDefault="005C01F2">
      <w:pPr>
        <w:shd w:val="clear" w:color="auto" w:fill="FFFFFF"/>
        <w:spacing w:after="0" w:line="360" w:lineRule="atLeast"/>
        <w:rPr>
          <w:rFonts w:eastAsia="Times New Roman" w:cs="Arial" w:asciiTheme="majorHAnsi" w:hAnsiTheme="majorHAnsi"/>
          <w:sz w:val="24"/>
          <w:szCs w:val="18"/>
        </w:rPr>
      </w:pPr>
      <w:r>
        <w:rPr>
          <w:rFonts w:eastAsia="Times New Roman" w:cs="Arial" w:asciiTheme="majorHAnsi" w:hAnsiTheme="majorHAnsi"/>
          <w:sz w:val="24"/>
          <w:szCs w:val="18"/>
        </w:rPr>
        <w:t>3015GD</w:t>
      </w:r>
    </w:p>
    <w:p w:rsidR="005C01F2" w:rsidP="005C01F2" w:rsidRDefault="005C01F2">
      <w:pPr>
        <w:shd w:val="clear" w:color="auto" w:fill="FFFFFF"/>
        <w:spacing w:after="0" w:line="360" w:lineRule="atLeast"/>
        <w:rPr>
          <w:rFonts w:eastAsia="Times New Roman" w:cs="Arial" w:asciiTheme="majorHAnsi" w:hAnsiTheme="majorHAnsi"/>
          <w:sz w:val="24"/>
          <w:szCs w:val="18"/>
        </w:rPr>
      </w:pPr>
      <w:r w:rsidRPr="00420385">
        <w:rPr>
          <w:rFonts w:eastAsia="Times New Roman" w:cs="Arial" w:asciiTheme="majorHAnsi" w:hAnsiTheme="majorHAnsi"/>
          <w:sz w:val="24"/>
          <w:szCs w:val="18"/>
        </w:rPr>
        <w:t>Telephone +31107032150</w:t>
      </w:r>
    </w:p>
    <w:p w:rsidRPr="009964FD" w:rsidR="00991C1D" w:rsidP="009964FD" w:rsidRDefault="00991C1D">
      <w:pPr>
        <w:shd w:val="clear" w:color="auto" w:fill="FFFFFF"/>
        <w:spacing w:after="0" w:line="360" w:lineRule="atLeast"/>
        <w:rPr>
          <w:rFonts w:eastAsia="Times New Roman" w:cs="Arial" w:asciiTheme="majorHAnsi" w:hAnsiTheme="majorHAnsi"/>
          <w:sz w:val="24"/>
          <w:szCs w:val="18"/>
        </w:rPr>
      </w:pPr>
    </w:p>
    <w:p w:rsidR="00AC30DA" w:rsidP="00991C1D" w:rsidRDefault="00AC30DA">
      <w:pPr>
        <w:rPr>
          <w:rFonts w:eastAsia="Times New Roman" w:cs="Arial" w:asciiTheme="majorHAnsi" w:hAnsiTheme="majorHAnsi"/>
          <w:b/>
          <w:bCs/>
          <w:i/>
          <w:sz w:val="24"/>
          <w:szCs w:val="24"/>
        </w:rPr>
      </w:pPr>
      <w:r>
        <w:rPr>
          <w:rFonts w:eastAsia="Times New Roman" w:cs="Arial" w:asciiTheme="majorHAnsi" w:hAnsiTheme="majorHAnsi"/>
          <w:b/>
          <w:bCs/>
          <w:i/>
          <w:noProof/>
          <w:sz w:val="24"/>
          <w:szCs w:val="24"/>
          <w:lang w:eastAsia="en-GB"/>
        </w:rPr>
        <mc:AlternateContent>
          <mc:Choice Requires="wps">
            <w:drawing>
              <wp:anchor distT="0" distB="0" distL="114300" distR="114300" simplePos="0" relativeHeight="251659264" behindDoc="0" locked="0" layoutInCell="1" allowOverlap="1">
                <wp:simplePos x="0" y="0"/>
                <wp:positionH relativeFrom="column">
                  <wp:posOffset>-202019</wp:posOffset>
                </wp:positionH>
                <wp:positionV relativeFrom="paragraph">
                  <wp:posOffset>148856</wp:posOffset>
                </wp:positionV>
                <wp:extent cx="6432698" cy="3891516"/>
                <wp:effectExtent l="0" t="0" r="25400" b="13970"/>
                <wp:wrapNone/>
                <wp:docPr id="1" name="Rectangle 1"/>
                <wp:cNvGraphicFramePr/>
                <a:graphic xmlns:a="http://schemas.openxmlformats.org/drawingml/2006/main">
                  <a:graphicData uri="http://schemas.microsoft.com/office/word/2010/wordprocessingShape">
                    <wps:wsp>
                      <wps:cNvSpPr/>
                      <wps:spPr>
                        <a:xfrm>
                          <a:off x="0" y="0"/>
                          <a:ext cx="6432698" cy="3891516"/>
                        </a:xfrm>
                        <a:prstGeom prst="rect">
                          <a:avLst/>
                        </a:prstGeom>
                        <a:no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 style="position:absolute;margin-left:-15.9pt;margin-top:11.7pt;width:506.5pt;height:306.4pt;z-index:25165926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4f81bd [3204]" strokeweigh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"/>
            </w:pict>
          </mc:Fallback>
        </mc:AlternateContent>
      </w:r>
    </w:p>
    <w:p w:rsidRPr="00800606" w:rsidR="00991C1D" w:rsidP="00991C1D" w:rsidRDefault="00991C1D">
      <w:pPr>
        <w:rPr>
          <w:rFonts w:eastAsia="Times New Roman" w:cs="Arial" w:asciiTheme="majorHAnsi" w:hAnsiTheme="majorHAnsi"/>
          <w:bCs/>
          <w:i/>
          <w:sz w:val="24"/>
          <w:szCs w:val="24"/>
        </w:rPr>
      </w:pPr>
      <w:r w:rsidRPr="00800606">
        <w:rPr>
          <w:rFonts w:eastAsia="Times New Roman" w:cs="Arial" w:asciiTheme="majorHAnsi" w:hAnsiTheme="majorHAnsi"/>
          <w:b/>
          <w:bCs/>
          <w:i/>
          <w:sz w:val="24"/>
          <w:szCs w:val="24"/>
        </w:rPr>
        <w:t xml:space="preserve">SYNTAXES TRIAL – </w:t>
      </w:r>
      <w:r w:rsidRPr="00800606">
        <w:rPr>
          <w:rFonts w:eastAsia="Times New Roman" w:cs="Arial" w:asciiTheme="majorHAnsi" w:hAnsiTheme="majorHAnsi"/>
          <w:bCs/>
          <w:i/>
          <w:sz w:val="24"/>
          <w:szCs w:val="24"/>
        </w:rPr>
        <w:t>a 10 year follow-up for patients previously enrolled in the SYNTAX TRIAL</w:t>
      </w:r>
    </w:p>
    <w:p w:rsidRPr="00800606" w:rsidR="00991C1D" w:rsidP="00991C1D" w:rsidRDefault="00991C1D">
      <w:pPr>
        <w:rPr>
          <w:rFonts w:eastAsia="Times New Roman" w:cs="Arial" w:asciiTheme="majorHAnsi" w:hAnsiTheme="majorHAnsi"/>
          <w:bCs/>
          <w:i/>
          <w:sz w:val="24"/>
          <w:szCs w:val="24"/>
        </w:rPr>
      </w:pPr>
      <w:r w:rsidRPr="00800606">
        <w:rPr>
          <w:rFonts w:eastAsia="Times New Roman" w:cs="Arial" w:asciiTheme="majorHAnsi" w:hAnsiTheme="majorHAnsi"/>
          <w:bCs/>
          <w:i/>
          <w:sz w:val="24"/>
          <w:szCs w:val="24"/>
        </w:rPr>
        <w:t xml:space="preserve">The SYNTAX trial was the first large-scale randomized trial that randomly assigned patients with coronary artery disease to undergo Coronary Artery Bypass Grafting (CABG) or </w:t>
      </w:r>
      <w:r w:rsidRPr="00800606" w:rsidR="00182F18">
        <w:rPr>
          <w:rFonts w:eastAsia="Times New Roman" w:cs="Arial" w:asciiTheme="majorHAnsi" w:hAnsiTheme="majorHAnsi"/>
          <w:bCs/>
          <w:i/>
          <w:sz w:val="24"/>
          <w:szCs w:val="24"/>
        </w:rPr>
        <w:t>Percutaneous</w:t>
      </w:r>
      <w:r w:rsidRPr="00800606">
        <w:rPr>
          <w:rFonts w:eastAsia="Times New Roman" w:cs="Arial" w:asciiTheme="majorHAnsi" w:hAnsiTheme="majorHAnsi"/>
          <w:bCs/>
          <w:i/>
          <w:sz w:val="24"/>
          <w:szCs w:val="24"/>
        </w:rPr>
        <w:t xml:space="preserve"> Coronary Intervention (PCI) with drug-eluting stents. Its currently considered to be the most important trial of CABG versus PCI. Follow-up of patients to 5 years was successfully completed and showed that CABG should remain the standard of care for patients with three vessel coronary artery disease. There has never been longer term follow-up information about the survival of patients comparing CABG surgery with stents for complicated coronary disease before. Therefore, we are collecting 10 year mortality data for these patients in the original SYNTAX trial. This will involve accessing information through a national database and will not involve contacting patients, family or friends.</w:t>
      </w:r>
    </w:p>
    <w:p w:rsidRPr="00800606" w:rsidR="00991C1D" w:rsidP="00991C1D" w:rsidRDefault="00991C1D">
      <w:pPr>
        <w:rPr>
          <w:rFonts w:eastAsia="Times New Roman" w:cs="Arial" w:asciiTheme="majorHAnsi" w:hAnsiTheme="majorHAnsi"/>
          <w:bCs/>
          <w:i/>
          <w:sz w:val="24"/>
          <w:szCs w:val="24"/>
        </w:rPr>
      </w:pPr>
      <w:r w:rsidRPr="00800606">
        <w:rPr>
          <w:rFonts w:eastAsia="Times New Roman" w:cs="Arial" w:asciiTheme="majorHAnsi" w:hAnsiTheme="majorHAnsi"/>
          <w:bCs/>
          <w:i/>
          <w:sz w:val="24"/>
          <w:szCs w:val="24"/>
        </w:rPr>
        <w:t>If you were previously enrolled into the SYNTAX trial and would prefer not to have this information about you included in the ten year follow-up, please contact your local research team via the contact details below:</w:t>
      </w:r>
    </w:p>
    <w:p w:rsidRPr="00800606" w:rsidR="001377A6" w:rsidP="00991C1D" w:rsidRDefault="00AC30DA">
      <w:pPr>
        <w:rPr>
          <w:rFonts w:eastAsia="Times New Roman" w:cs="Arial" w:asciiTheme="majorHAnsi" w:hAnsiTheme="majorHAnsi"/>
          <w:bCs/>
          <w:i/>
          <w:sz w:val="24"/>
          <w:szCs w:val="24"/>
        </w:rPr>
      </w:pPr>
      <w:r>
        <w:rPr>
          <w:rFonts w:eastAsia="Times New Roman" w:cs="Arial" w:asciiTheme="majorHAnsi" w:hAnsiTheme="majorHAnsi"/>
          <w:bCs/>
          <w:i/>
          <w:sz w:val="24"/>
          <w:szCs w:val="24"/>
        </w:rPr>
        <w:t>Name of consultant: Professor Nicholas Curzen</w:t>
      </w:r>
      <w:bookmarkStart w:name="_GoBack" w:id="0"/>
      <w:bookmarkEnd w:id="0"/>
    </w:p>
    <w:p w:rsidR="001377A6" w:rsidRDefault="001377A6">
      <w:pPr>
        <w:rPr>
          <w:rFonts w:eastAsia="Times New Roman" w:cs="Arial" w:asciiTheme="majorHAnsi" w:hAnsiTheme="majorHAnsi"/>
          <w:b/>
          <w:bCs/>
          <w:sz w:val="24"/>
          <w:szCs w:val="24"/>
        </w:rPr>
      </w:pPr>
    </w:p>
    <w:p w:rsidRPr="00015E04" w:rsidR="001377A6" w:rsidRDefault="001377A6">
      <w:pPr>
        <w:rPr>
          <w:rFonts w:eastAsia="Times New Roman" w:cs="Arial" w:asciiTheme="majorHAnsi" w:hAnsiTheme="majorHAnsi"/>
          <w:b/>
          <w:bCs/>
          <w:sz w:val="24"/>
          <w:szCs w:val="24"/>
        </w:rPr>
      </w:pPr>
    </w:p>
    <w:p w:rsidRPr="00AE33D7" w:rsidR="001377A6" w:rsidRDefault="001377A6">
      <w:pPr>
        <w:rPr>
          <w:rFonts w:eastAsia="Times New Roman" w:cs="Arial" w:asciiTheme="majorHAnsi" w:hAnsiTheme="majorHAnsi"/>
          <w:b/>
          <w:bCs/>
          <w:sz w:val="36"/>
          <w:szCs w:val="36"/>
        </w:rPr>
      </w:pPr>
    </w:p>
    <w:sectPr w:rsidRPr="00AE33D7" w:rsidR="001377A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64FD"/>
    <w:rsid w:val="00011CF9"/>
    <w:rsid w:val="00015E04"/>
    <w:rsid w:val="000647EC"/>
    <w:rsid w:val="001377A6"/>
    <w:rsid w:val="00182F18"/>
    <w:rsid w:val="001A32E1"/>
    <w:rsid w:val="001B4A24"/>
    <w:rsid w:val="001F7B70"/>
    <w:rsid w:val="002E5A9D"/>
    <w:rsid w:val="00380FC6"/>
    <w:rsid w:val="004046F7"/>
    <w:rsid w:val="0042669D"/>
    <w:rsid w:val="00445E35"/>
    <w:rsid w:val="004A16A5"/>
    <w:rsid w:val="00571133"/>
    <w:rsid w:val="005C01F2"/>
    <w:rsid w:val="00777CE8"/>
    <w:rsid w:val="007C18AB"/>
    <w:rsid w:val="00800606"/>
    <w:rsid w:val="00820339"/>
    <w:rsid w:val="00850F02"/>
    <w:rsid w:val="009162D3"/>
    <w:rsid w:val="00972E27"/>
    <w:rsid w:val="00991C1D"/>
    <w:rsid w:val="009964FD"/>
    <w:rsid w:val="00A12952"/>
    <w:rsid w:val="00A56FDE"/>
    <w:rsid w:val="00A60E4E"/>
    <w:rsid w:val="00A82511"/>
    <w:rsid w:val="00A93834"/>
    <w:rsid w:val="00AC30DA"/>
    <w:rsid w:val="00AE33D7"/>
    <w:rsid w:val="00AE3758"/>
    <w:rsid w:val="00B027CE"/>
    <w:rsid w:val="00B57289"/>
    <w:rsid w:val="00B92AA4"/>
    <w:rsid w:val="00C13C5C"/>
    <w:rsid w:val="00CA10A1"/>
    <w:rsid w:val="00CB215F"/>
    <w:rsid w:val="00CF22DF"/>
    <w:rsid w:val="00D1564D"/>
    <w:rsid w:val="00E96646"/>
    <w:rsid w:val="00FD07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paragraph" w:styleId="Heading2">
    <w:name w:val="heading 2"/>
    <w:basedOn w:val="Normal"/>
    <w:link w:val="Heading2Char"/>
    <w:uiPriority w:val="9"/>
    <w:qFormat/>
    <w:rsid w:val="009964F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9964F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6">
    <w:name w:val="heading 6"/>
    <w:basedOn w:val="Normal"/>
    <w:link w:val="Heading6Char"/>
    <w:uiPriority w:val="9"/>
    <w:qFormat/>
    <w:rsid w:val="009964FD"/>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964F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9964FD"/>
    <w:rPr>
      <w:rFonts w:ascii="Times New Roman" w:eastAsia="Times New Roman" w:hAnsi="Times New Roman" w:cs="Times New Roman"/>
      <w:b/>
      <w:bCs/>
      <w:sz w:val="27"/>
      <w:szCs w:val="27"/>
    </w:rPr>
  </w:style>
  <w:style w:type="character" w:customStyle="1" w:styleId="Heading6Char">
    <w:name w:val="Heading 6 Char"/>
    <w:basedOn w:val="DefaultParagraphFont"/>
    <w:link w:val="Heading6"/>
    <w:uiPriority w:val="9"/>
    <w:rsid w:val="009964FD"/>
    <w:rPr>
      <w:rFonts w:ascii="Times New Roman" w:eastAsia="Times New Roman" w:hAnsi="Times New Roman" w:cs="Times New Roman"/>
      <w:b/>
      <w:bCs/>
      <w:sz w:val="15"/>
      <w:szCs w:val="15"/>
    </w:rPr>
  </w:style>
  <w:style w:type="paragraph" w:customStyle="1" w:styleId="p">
    <w:name w:val="p"/>
    <w:basedOn w:val="Normal"/>
    <w:rsid w:val="009964F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964FD"/>
    <w:rPr>
      <w:b/>
      <w:bCs/>
    </w:rPr>
  </w:style>
  <w:style w:type="character" w:styleId="Hyperlink">
    <w:name w:val="Hyperlink"/>
    <w:basedOn w:val="DefaultParagraphFont"/>
    <w:uiPriority w:val="99"/>
    <w:unhideWhenUsed/>
    <w:rsid w:val="009964FD"/>
    <w:rPr>
      <w:color w:val="0000FF"/>
      <w:u w:val="single"/>
    </w:rPr>
  </w:style>
  <w:style w:type="character" w:customStyle="1" w:styleId="underline">
    <w:name w:val="underline"/>
    <w:basedOn w:val="DefaultParagraphFont"/>
    <w:rsid w:val="009964FD"/>
  </w:style>
  <w:style w:type="paragraph" w:customStyle="1" w:styleId="Default">
    <w:name w:val="Default"/>
    <w:rsid w:val="009964FD"/>
    <w:pPr>
      <w:autoSpaceDE w:val="0"/>
      <w:autoSpaceDN w:val="0"/>
      <w:adjustRightInd w:val="0"/>
      <w:spacing w:after="0" w:line="240" w:lineRule="auto"/>
    </w:pPr>
    <w:rPr>
      <w:rFonts w:ascii="Cambria" w:hAnsi="Cambria" w:cs="Cambria"/>
      <w:color w:val="000000"/>
      <w:sz w:val="24"/>
      <w:szCs w:val="24"/>
    </w:rPr>
  </w:style>
  <w:style w:type="character" w:styleId="CommentReference">
    <w:name w:val="annotation reference"/>
    <w:basedOn w:val="DefaultParagraphFont"/>
    <w:uiPriority w:val="99"/>
    <w:semiHidden/>
    <w:unhideWhenUsed/>
    <w:rsid w:val="00AE33D7"/>
    <w:rPr>
      <w:sz w:val="16"/>
      <w:szCs w:val="16"/>
    </w:rPr>
  </w:style>
  <w:style w:type="paragraph" w:styleId="CommentText">
    <w:name w:val="annotation text"/>
    <w:basedOn w:val="Normal"/>
    <w:link w:val="CommentTextChar"/>
    <w:uiPriority w:val="99"/>
    <w:semiHidden/>
    <w:unhideWhenUsed/>
    <w:rsid w:val="00AE33D7"/>
    <w:pPr>
      <w:spacing w:line="240" w:lineRule="auto"/>
    </w:pPr>
    <w:rPr>
      <w:sz w:val="20"/>
      <w:szCs w:val="20"/>
    </w:rPr>
  </w:style>
  <w:style w:type="character" w:customStyle="1" w:styleId="CommentTextChar">
    <w:name w:val="Comment Text Char"/>
    <w:basedOn w:val="DefaultParagraphFont"/>
    <w:link w:val="CommentText"/>
    <w:uiPriority w:val="99"/>
    <w:semiHidden/>
    <w:rsid w:val="00AE33D7"/>
    <w:rPr>
      <w:sz w:val="20"/>
      <w:szCs w:val="20"/>
    </w:rPr>
  </w:style>
  <w:style w:type="paragraph" w:styleId="CommentSubject">
    <w:name w:val="annotation subject"/>
    <w:basedOn w:val="CommentText"/>
    <w:next w:val="CommentText"/>
    <w:link w:val="CommentSubjectChar"/>
    <w:uiPriority w:val="99"/>
    <w:semiHidden/>
    <w:unhideWhenUsed/>
    <w:rsid w:val="00AE33D7"/>
    <w:rPr>
      <w:b/>
      <w:bCs/>
    </w:rPr>
  </w:style>
  <w:style w:type="character" w:customStyle="1" w:styleId="CommentSubjectChar">
    <w:name w:val="Comment Subject Char"/>
    <w:basedOn w:val="CommentTextChar"/>
    <w:link w:val="CommentSubject"/>
    <w:uiPriority w:val="99"/>
    <w:semiHidden/>
    <w:rsid w:val="00AE33D7"/>
    <w:rPr>
      <w:b/>
      <w:bCs/>
      <w:sz w:val="20"/>
      <w:szCs w:val="20"/>
    </w:rPr>
  </w:style>
  <w:style w:type="paragraph" w:styleId="BalloonText">
    <w:name w:val="Balloon Text"/>
    <w:basedOn w:val="Normal"/>
    <w:link w:val="BalloonTextChar"/>
    <w:uiPriority w:val="99"/>
    <w:semiHidden/>
    <w:unhideWhenUsed/>
    <w:rsid w:val="00AE33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3D7"/>
    <w:rPr>
      <w:rFonts w:ascii="Tahoma" w:hAnsi="Tahoma" w:cs="Tahoma"/>
      <w:sz w:val="16"/>
      <w:szCs w:val="16"/>
    </w:rPr>
  </w:style>
  <w:style w:type="character" w:styleId="FollowedHyperlink">
    <w:name w:val="FollowedHyperlink"/>
    <w:basedOn w:val="DefaultParagraphFont"/>
    <w:uiPriority w:val="99"/>
    <w:semiHidden/>
    <w:unhideWhenUsed/>
    <w:rsid w:val="00972E27"/>
    <w:rPr>
      <w:color w:val="800080" w:themeColor="followedHyperlink"/>
      <w:u w:val="single"/>
    </w:rPr>
  </w:style>
  <w:style w:type="paragraph" w:styleId="NoSpacing">
    <w:name w:val="No Spacing"/>
    <w:uiPriority w:val="1"/>
    <w:qFormat/>
    <w:rsid w:val="00D1564D"/>
    <w:pPr>
      <w:spacing w:after="0" w:line="240" w:lineRule="auto"/>
    </w:pPr>
    <w:rPr>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paragraph" w:styleId="Heading2">
    <w:name w:val="heading 2"/>
    <w:basedOn w:val="Normal"/>
    <w:link w:val="Heading2Char"/>
    <w:uiPriority w:val="9"/>
    <w:qFormat/>
    <w:rsid w:val="009964F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9964F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6">
    <w:name w:val="heading 6"/>
    <w:basedOn w:val="Normal"/>
    <w:link w:val="Heading6Char"/>
    <w:uiPriority w:val="9"/>
    <w:qFormat/>
    <w:rsid w:val="009964FD"/>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964F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9964FD"/>
    <w:rPr>
      <w:rFonts w:ascii="Times New Roman" w:eastAsia="Times New Roman" w:hAnsi="Times New Roman" w:cs="Times New Roman"/>
      <w:b/>
      <w:bCs/>
      <w:sz w:val="27"/>
      <w:szCs w:val="27"/>
    </w:rPr>
  </w:style>
  <w:style w:type="character" w:customStyle="1" w:styleId="Heading6Char">
    <w:name w:val="Heading 6 Char"/>
    <w:basedOn w:val="DefaultParagraphFont"/>
    <w:link w:val="Heading6"/>
    <w:uiPriority w:val="9"/>
    <w:rsid w:val="009964FD"/>
    <w:rPr>
      <w:rFonts w:ascii="Times New Roman" w:eastAsia="Times New Roman" w:hAnsi="Times New Roman" w:cs="Times New Roman"/>
      <w:b/>
      <w:bCs/>
      <w:sz w:val="15"/>
      <w:szCs w:val="15"/>
    </w:rPr>
  </w:style>
  <w:style w:type="paragraph" w:customStyle="1" w:styleId="p">
    <w:name w:val="p"/>
    <w:basedOn w:val="Normal"/>
    <w:rsid w:val="009964F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964FD"/>
    <w:rPr>
      <w:b/>
      <w:bCs/>
    </w:rPr>
  </w:style>
  <w:style w:type="character" w:styleId="Hyperlink">
    <w:name w:val="Hyperlink"/>
    <w:basedOn w:val="DefaultParagraphFont"/>
    <w:uiPriority w:val="99"/>
    <w:unhideWhenUsed/>
    <w:rsid w:val="009964FD"/>
    <w:rPr>
      <w:color w:val="0000FF"/>
      <w:u w:val="single"/>
    </w:rPr>
  </w:style>
  <w:style w:type="character" w:customStyle="1" w:styleId="underline">
    <w:name w:val="underline"/>
    <w:basedOn w:val="DefaultParagraphFont"/>
    <w:rsid w:val="009964FD"/>
  </w:style>
  <w:style w:type="paragraph" w:customStyle="1" w:styleId="Default">
    <w:name w:val="Default"/>
    <w:rsid w:val="009964FD"/>
    <w:pPr>
      <w:autoSpaceDE w:val="0"/>
      <w:autoSpaceDN w:val="0"/>
      <w:adjustRightInd w:val="0"/>
      <w:spacing w:after="0" w:line="240" w:lineRule="auto"/>
    </w:pPr>
    <w:rPr>
      <w:rFonts w:ascii="Cambria" w:hAnsi="Cambria" w:cs="Cambria"/>
      <w:color w:val="000000"/>
      <w:sz w:val="24"/>
      <w:szCs w:val="24"/>
    </w:rPr>
  </w:style>
  <w:style w:type="character" w:styleId="CommentReference">
    <w:name w:val="annotation reference"/>
    <w:basedOn w:val="DefaultParagraphFont"/>
    <w:uiPriority w:val="99"/>
    <w:semiHidden/>
    <w:unhideWhenUsed/>
    <w:rsid w:val="00AE33D7"/>
    <w:rPr>
      <w:sz w:val="16"/>
      <w:szCs w:val="16"/>
    </w:rPr>
  </w:style>
  <w:style w:type="paragraph" w:styleId="CommentText">
    <w:name w:val="annotation text"/>
    <w:basedOn w:val="Normal"/>
    <w:link w:val="CommentTextChar"/>
    <w:uiPriority w:val="99"/>
    <w:semiHidden/>
    <w:unhideWhenUsed/>
    <w:rsid w:val="00AE33D7"/>
    <w:pPr>
      <w:spacing w:line="240" w:lineRule="auto"/>
    </w:pPr>
    <w:rPr>
      <w:sz w:val="20"/>
      <w:szCs w:val="20"/>
    </w:rPr>
  </w:style>
  <w:style w:type="character" w:customStyle="1" w:styleId="CommentTextChar">
    <w:name w:val="Comment Text Char"/>
    <w:basedOn w:val="DefaultParagraphFont"/>
    <w:link w:val="CommentText"/>
    <w:uiPriority w:val="99"/>
    <w:semiHidden/>
    <w:rsid w:val="00AE33D7"/>
    <w:rPr>
      <w:sz w:val="20"/>
      <w:szCs w:val="20"/>
    </w:rPr>
  </w:style>
  <w:style w:type="paragraph" w:styleId="CommentSubject">
    <w:name w:val="annotation subject"/>
    <w:basedOn w:val="CommentText"/>
    <w:next w:val="CommentText"/>
    <w:link w:val="CommentSubjectChar"/>
    <w:uiPriority w:val="99"/>
    <w:semiHidden/>
    <w:unhideWhenUsed/>
    <w:rsid w:val="00AE33D7"/>
    <w:rPr>
      <w:b/>
      <w:bCs/>
    </w:rPr>
  </w:style>
  <w:style w:type="character" w:customStyle="1" w:styleId="CommentSubjectChar">
    <w:name w:val="Comment Subject Char"/>
    <w:basedOn w:val="CommentTextChar"/>
    <w:link w:val="CommentSubject"/>
    <w:uiPriority w:val="99"/>
    <w:semiHidden/>
    <w:rsid w:val="00AE33D7"/>
    <w:rPr>
      <w:b/>
      <w:bCs/>
      <w:sz w:val="20"/>
      <w:szCs w:val="20"/>
    </w:rPr>
  </w:style>
  <w:style w:type="paragraph" w:styleId="BalloonText">
    <w:name w:val="Balloon Text"/>
    <w:basedOn w:val="Normal"/>
    <w:link w:val="BalloonTextChar"/>
    <w:uiPriority w:val="99"/>
    <w:semiHidden/>
    <w:unhideWhenUsed/>
    <w:rsid w:val="00AE33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3D7"/>
    <w:rPr>
      <w:rFonts w:ascii="Tahoma" w:hAnsi="Tahoma" w:cs="Tahoma"/>
      <w:sz w:val="16"/>
      <w:szCs w:val="16"/>
    </w:rPr>
  </w:style>
  <w:style w:type="character" w:styleId="FollowedHyperlink">
    <w:name w:val="FollowedHyperlink"/>
    <w:basedOn w:val="DefaultParagraphFont"/>
    <w:uiPriority w:val="99"/>
    <w:semiHidden/>
    <w:unhideWhenUsed/>
    <w:rsid w:val="00972E27"/>
    <w:rPr>
      <w:color w:val="800080" w:themeColor="followedHyperlink"/>
      <w:u w:val="single"/>
    </w:rPr>
  </w:style>
  <w:style w:type="paragraph" w:styleId="NoSpacing">
    <w:name w:val="No Spacing"/>
    <w:uiPriority w:val="1"/>
    <w:qFormat/>
    <w:rsid w:val="00D1564D"/>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012022">
      <w:bodyDiv w:val="1"/>
      <w:marLeft w:val="0"/>
      <w:marRight w:val="0"/>
      <w:marTop w:val="0"/>
      <w:marBottom w:val="0"/>
      <w:divBdr>
        <w:top w:val="none" w:sz="0" w:space="0" w:color="auto"/>
        <w:left w:val="none" w:sz="0" w:space="0" w:color="auto"/>
        <w:bottom w:val="none" w:sz="0" w:space="0" w:color="auto"/>
        <w:right w:val="none" w:sz="0" w:space="0" w:color="auto"/>
      </w:divBdr>
    </w:div>
    <w:div w:id="304118370">
      <w:bodyDiv w:val="1"/>
      <w:marLeft w:val="0"/>
      <w:marRight w:val="0"/>
      <w:marTop w:val="0"/>
      <w:marBottom w:val="0"/>
      <w:divBdr>
        <w:top w:val="none" w:sz="0" w:space="0" w:color="auto"/>
        <w:left w:val="none" w:sz="0" w:space="0" w:color="auto"/>
        <w:bottom w:val="none" w:sz="0" w:space="0" w:color="auto"/>
        <w:right w:val="none" w:sz="0" w:space="0" w:color="auto"/>
      </w:divBdr>
    </w:div>
    <w:div w:id="763914617">
      <w:bodyDiv w:val="1"/>
      <w:marLeft w:val="0"/>
      <w:marRight w:val="0"/>
      <w:marTop w:val="0"/>
      <w:marBottom w:val="0"/>
      <w:divBdr>
        <w:top w:val="none" w:sz="0" w:space="0" w:color="auto"/>
        <w:left w:val="none" w:sz="0" w:space="0" w:color="auto"/>
        <w:bottom w:val="none" w:sz="0" w:space="0" w:color="auto"/>
        <w:right w:val="none" w:sz="0" w:space="0" w:color="auto"/>
      </w:divBdr>
    </w:div>
    <w:div w:id="1337077159">
      <w:bodyDiv w:val="1"/>
      <w:marLeft w:val="0"/>
      <w:marRight w:val="0"/>
      <w:marTop w:val="0"/>
      <w:marBottom w:val="0"/>
      <w:divBdr>
        <w:top w:val="none" w:sz="0" w:space="0" w:color="auto"/>
        <w:left w:val="none" w:sz="0" w:space="0" w:color="auto"/>
        <w:bottom w:val="none" w:sz="0" w:space="0" w:color="auto"/>
        <w:right w:val="none" w:sz="0" w:space="0" w:color="auto"/>
      </w:divBdr>
    </w:div>
    <w:div w:id="1345673117">
      <w:bodyDiv w:val="1"/>
      <w:marLeft w:val="0"/>
      <w:marRight w:val="0"/>
      <w:marTop w:val="0"/>
      <w:marBottom w:val="0"/>
      <w:divBdr>
        <w:top w:val="none" w:sz="0" w:space="0" w:color="auto"/>
        <w:left w:val="none" w:sz="0" w:space="0" w:color="auto"/>
        <w:bottom w:val="none" w:sz="0" w:space="0" w:color="auto"/>
        <w:right w:val="none" w:sz="0" w:space="0" w:color="auto"/>
      </w:divBdr>
    </w:div>
    <w:div w:id="1703943231">
      <w:bodyDiv w:val="1"/>
      <w:marLeft w:val="0"/>
      <w:marRight w:val="0"/>
      <w:marTop w:val="0"/>
      <w:marBottom w:val="0"/>
      <w:divBdr>
        <w:top w:val="none" w:sz="0" w:space="0" w:color="auto"/>
        <w:left w:val="none" w:sz="0" w:space="0" w:color="auto"/>
        <w:bottom w:val="none" w:sz="0" w:space="0" w:color="auto"/>
        <w:right w:val="none" w:sz="0" w:space="0" w:color="auto"/>
      </w:divBdr>
    </w:div>
    <w:div w:id="1820611874">
      <w:bodyDiv w:val="1"/>
      <w:marLeft w:val="0"/>
      <w:marRight w:val="0"/>
      <w:marTop w:val="0"/>
      <w:marBottom w:val="0"/>
      <w:divBdr>
        <w:top w:val="none" w:sz="0" w:space="0" w:color="auto"/>
        <w:left w:val="none" w:sz="0" w:space="0" w:color="auto"/>
        <w:bottom w:val="none" w:sz="0" w:space="0" w:color="auto"/>
        <w:right w:val="none" w:sz="0" w:space="0" w:color="auto"/>
      </w:divBdr>
    </w:div>
    <w:div w:id="1855532221">
      <w:bodyDiv w:val="1"/>
      <w:marLeft w:val="0"/>
      <w:marRight w:val="0"/>
      <w:marTop w:val="0"/>
      <w:marBottom w:val="0"/>
      <w:divBdr>
        <w:top w:val="none" w:sz="0" w:space="0" w:color="auto"/>
        <w:left w:val="none" w:sz="0" w:space="0" w:color="auto"/>
        <w:bottom w:val="none" w:sz="0" w:space="0" w:color="auto"/>
        <w:right w:val="none" w:sz="0" w:space="0" w:color="auto"/>
      </w:divBdr>
    </w:div>
    <w:div w:id="2123186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o.org.uk/" TargetMode="External"/><Relationship Id="rId3" Type="http://schemas.openxmlformats.org/officeDocument/2006/relationships/settings" Target="settings.xml"/><Relationship Id="rId7" Type="http://schemas.openxmlformats.org/officeDocument/2006/relationships/hyperlink" Target="https://autoriteitpersoonsgegevens.nl/nl/onderwerpen/avg-nieuwe-europese-privacywetgeving/controle-over-je-data"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uhs.nhs.uk/ClinicalResearchinSouthampton/Public-and-patients/Get-involved/General-Data-Protection-Regulation.aspx" TargetMode="External"/><Relationship Id="rId5" Type="http://schemas.openxmlformats.org/officeDocument/2006/relationships/hyperlink" Target="https://clinicaltrials.gov/ct2/show/NCT03417050?term=SYNTAXES&amp;rank=1"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49A6A119</Template>
  <TotalTime>17</TotalTime>
  <Pages>6</Pages>
  <Words>124</Words>
  <Characters>12896</Characters>
  <Application>Microsoft Office Word</Application>
  <DocSecurity>0</DocSecurity>
  <Lines>248</Lines>
  <Paragraphs>123</Paragraphs>
  <ScaleCrop>false</ScaleCrop>
  <HeadingPairs>
    <vt:vector size="2" baseType="variant">
      <vt:variant>
        <vt:lpstr>Title</vt:lpstr>
      </vt:variant>
      <vt:variant>
        <vt:i4>1</vt:i4>
      </vt:variant>
    </vt:vector>
  </HeadingPairs>
  <TitlesOfParts>
    <vt:vector size="1" baseType="lpstr">
      <vt:lpstr/>
    </vt:vector>
  </TitlesOfParts>
  <Company>Erasmus MC</Company>
  <LinksUpToDate>false</LinksUpToDate>
  <CharactersWithSpaces>12897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D.J.F.M. Thuijs</dc:creator>
  <cp:lastModifiedBy>Anuchana Patise</cp:lastModifiedBy>
  <cp:revision>9</cp:revision>
  <dcterms:created xsi:type="dcterms:W3CDTF">2019-02-11T14:53:00Z</dcterms:created>
  <dcterms:modified xsi:type="dcterms:W3CDTF">2019-02-20T21:08:17Z</dcterms:modified>
  <dc:title>PRIVACY NOTICE_Synergy between PCI with TAXUS and Cardiac SurgeryREV - FINAL</dc:title>
  <cp:keywords>
  </cp:keywords>
  <dc:subject>
  </dc:subject>
</cp:coreProperties>
</file>